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Applied AI Engineering Portfolio Master</w:t>
      </w:r>
    </w:p>
    <w:p>
      <w:pPr>
        <w:jc w:val="center"/>
      </w:pPr>
      <w:r>
        <w:rPr>
          <w:i/>
          <w:sz w:val="18"/>
        </w:rPr>
        <w:t>Jose Orozco | Electrical Engineer building Codex-assisted tools for automotive engineering workflows</w:t>
      </w:r>
    </w:p>
    <w:p>
      <w:pPr>
        <w:jc w:val="center"/>
      </w:pPr>
      <w:r>
        <w:rPr>
          <w:sz w:val="15"/>
        </w:rPr>
        <w:t>[SYNTHETIC — FOR DEMONSTRATION ONLY]</w:t>
        <w:br/>
        <w:t>Human Review Required: AI-generated outputs are decision-support artifacts only. A qualified engineer owns final review and approval.</w:t>
      </w:r>
    </w:p>
    <w:p>
      <w:pPr>
        <w:pStyle w:val="Heading1"/>
      </w:pPr>
      <w:r>
        <w:t>1. Portfolio North Star</w:t>
      </w:r>
    </w:p>
    <w:p>
      <w:r>
        <w:t>Use one theme everywhere: Applied AI Engineering Workflow Portfolio. The message is controlled engineering workflow modernization, not generic AI novelty.</w:t>
      </w:r>
    </w:p>
    <w:p>
      <w:pPr>
        <w:pStyle w:val="ListBullet"/>
        <w:spacing w:after="20"/>
      </w:pPr>
      <w:r>
        <w:rPr>
          <w:sz w:val="18"/>
        </w:rPr>
        <w:t>Codex-assisted engineering tools, not generic chatbot demos.</w:t>
      </w:r>
    </w:p>
    <w:p>
      <w:pPr>
        <w:pStyle w:val="ListBullet"/>
        <w:spacing w:after="20"/>
      </w:pPr>
      <w:r>
        <w:rPr>
          <w:sz w:val="18"/>
        </w:rPr>
        <w:t>Focus areas: requirements, WCCA, validation, traceability, risk, assumptions, and design-review readiness.</w:t>
      </w:r>
    </w:p>
    <w:p>
      <w:pPr>
        <w:pStyle w:val="ListBullet"/>
        <w:spacing w:after="20"/>
      </w:pPr>
      <w:r>
        <w:rPr>
          <w:sz w:val="18"/>
        </w:rPr>
        <w:t>Public examples use synthetic automotive lighting data only.</w:t>
      </w:r>
    </w:p>
    <w:p>
      <w:pPr>
        <w:pStyle w:val="ListBullet"/>
        <w:spacing w:after="20"/>
      </w:pPr>
      <w:r>
        <w:rPr>
          <w:sz w:val="18"/>
        </w:rPr>
        <w:t>AI accelerates workflow execution. Engineers own final judgment.</w:t>
      </w:r>
    </w:p>
    <w:p>
      <w:pPr>
        <w:pStyle w:val="Heading1"/>
      </w:pPr>
      <w:r>
        <w:t>2. Recruiter-Facing Summary</w:t>
      </w:r>
    </w:p>
    <w:p>
      <w:r>
        <w:t>Electrical Engineer specializing in automotive electronics and applied AI engineering workflows. Uses Codex to build practical tools for requirements consolidation, WCCA preparation, validation planning, design-review readiness, and technical documentation. Focused on repeatable engineering automation, human-reviewed outputs, traceability, and safe handling of proprietary information.</w:t>
      </w:r>
    </w:p>
    <w:p>
      <w:pPr>
        <w:pStyle w:val="Heading1"/>
      </w:pPr>
      <w:r>
        <w:t>3. Featured Project Spine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vAlign w:val="top"/>
            <w:shd w:fill="1F4E79"/>
          </w:tcPr>
          <w:p>
            <w:r/>
            <w:r>
              <w:rPr>
                <w:rFonts w:ascii="Arial" w:hAnsi="Arial"/>
                <w:b/>
                <w:color w:val="FFFFFF"/>
                <w:sz w:val="16"/>
              </w:rPr>
              <w:t>#</w:t>
            </w:r>
          </w:p>
        </w:tc>
        <w:tc>
          <w:tcPr>
            <w:tcW w:type="dxa" w:w="2613"/>
            <w:vAlign w:val="top"/>
            <w:shd w:fill="1F4E79"/>
          </w:tcPr>
          <w:p>
            <w:r/>
            <w:r>
              <w:rPr>
                <w:rFonts w:ascii="Arial" w:hAnsi="Arial"/>
                <w:b/>
                <w:color w:val="FFFFFF"/>
                <w:sz w:val="16"/>
              </w:rPr>
              <w:t>Project</w:t>
            </w:r>
          </w:p>
        </w:tc>
        <w:tc>
          <w:tcPr>
            <w:tcW w:type="dxa" w:w="2613"/>
            <w:vAlign w:val="top"/>
            <w:shd w:fill="1F4E79"/>
          </w:tcPr>
          <w:p>
            <w:r/>
            <w:r>
              <w:rPr>
                <w:rFonts w:ascii="Arial" w:hAnsi="Arial"/>
                <w:b/>
                <w:color w:val="FFFFFF"/>
                <w:sz w:val="16"/>
              </w:rPr>
              <w:t>What It Proves</w:t>
            </w:r>
          </w:p>
        </w:tc>
        <w:tc>
          <w:tcPr>
            <w:tcW w:type="dxa" w:w="2613"/>
            <w:vAlign w:val="top"/>
            <w:shd w:fill="1F4E79"/>
          </w:tcPr>
          <w:p>
            <w:r/>
            <w:r>
              <w:rPr>
                <w:rFonts w:ascii="Arial" w:hAnsi="Arial"/>
                <w:b/>
                <w:color w:val="FFFFFF"/>
                <w:sz w:val="16"/>
              </w:rPr>
              <w:t>Primary Proof</w:t>
            </w:r>
          </w:p>
        </w:tc>
      </w:tr>
      <w:tr>
        <w:tc>
          <w:tcPr>
            <w:tcW w:type="dxa" w:w="2613"/>
            <w:vAlign w:val="top"/>
          </w:tcPr>
          <w:p>
            <w:r/>
            <w:r>
              <w:rPr>
                <w:rFonts w:ascii="Arial" w:hAnsi="Arial"/>
                <w:b w:val="0"/>
                <w:sz w:val="16"/>
              </w:rPr>
              <w:t>1</w:t>
            </w:r>
          </w:p>
        </w:tc>
        <w:tc>
          <w:tcPr>
            <w:tcW w:type="dxa" w:w="2613"/>
            <w:vAlign w:val="top"/>
          </w:tcPr>
          <w:p>
            <w:r/>
            <w:r>
              <w:rPr>
                <w:rFonts w:ascii="Arial" w:hAnsi="Arial"/>
                <w:b w:val="0"/>
                <w:sz w:val="16"/>
              </w:rPr>
              <w:t>Requirements-to-Verification Tool</w:t>
            </w:r>
          </w:p>
        </w:tc>
        <w:tc>
          <w:tcPr>
            <w:tcW w:type="dxa" w:w="2613"/>
            <w:vAlign w:val="top"/>
          </w:tcPr>
          <w:p>
            <w:r/>
            <w:r>
              <w:rPr>
                <w:rFonts w:ascii="Arial" w:hAnsi="Arial"/>
                <w:b w:val="0"/>
                <w:sz w:val="16"/>
              </w:rPr>
              <w:t>Converts synthetic requirements into a traceable verification matrix.</w:t>
            </w:r>
          </w:p>
        </w:tc>
        <w:tc>
          <w:tcPr>
            <w:tcW w:type="dxa" w:w="2613"/>
            <w:vAlign w:val="top"/>
          </w:tcPr>
          <w:p>
            <w:r/>
            <w:r>
              <w:rPr>
                <w:rFonts w:ascii="Arial" w:hAnsi="Arial"/>
                <w:b w:val="0"/>
                <w:sz w:val="16"/>
              </w:rPr>
              <w:t>Requirements, verification planning, traceability, structured outputs</w:t>
            </w:r>
          </w:p>
        </w:tc>
      </w:tr>
      <w:tr>
        <w:tc>
          <w:tcPr>
            <w:tcW w:type="dxa" w:w="2613"/>
            <w:vAlign w:val="top"/>
          </w:tcPr>
          <w:p>
            <w:r/>
            <w:r>
              <w:rPr>
                <w:rFonts w:ascii="Arial" w:hAnsi="Arial"/>
                <w:b w:val="0"/>
                <w:sz w:val="16"/>
              </w:rPr>
              <w:t>2</w:t>
            </w:r>
          </w:p>
        </w:tc>
        <w:tc>
          <w:tcPr>
            <w:tcW w:type="dxa" w:w="2613"/>
            <w:vAlign w:val="top"/>
          </w:tcPr>
          <w:p>
            <w:r/>
            <w:r>
              <w:rPr>
                <w:rFonts w:ascii="Arial" w:hAnsi="Arial"/>
                <w:b w:val="0"/>
                <w:sz w:val="16"/>
              </w:rPr>
              <w:t>AI-Assisted WCCA Prep Tool</w:t>
            </w:r>
          </w:p>
        </w:tc>
        <w:tc>
          <w:tcPr>
            <w:tcW w:type="dxa" w:w="2613"/>
            <w:vAlign w:val="top"/>
          </w:tcPr>
          <w:p>
            <w:r/>
            <w:r>
              <w:rPr>
                <w:rFonts w:ascii="Arial" w:hAnsi="Arial"/>
                <w:b w:val="0"/>
                <w:sz w:val="16"/>
              </w:rPr>
              <w:t>Organizes synthetic WCCA parameters, tolerances, plots, and review notes.</w:t>
            </w:r>
          </w:p>
        </w:tc>
        <w:tc>
          <w:tcPr>
            <w:tcW w:type="dxa" w:w="2613"/>
            <w:vAlign w:val="top"/>
          </w:tcPr>
          <w:p>
            <w:r/>
            <w:r>
              <w:rPr>
                <w:rFonts w:ascii="Arial" w:hAnsi="Arial"/>
                <w:b w:val="0"/>
                <w:sz w:val="16"/>
              </w:rPr>
              <w:t>WCCA prep, tolerance analysis, MATLAB/Python, documentation automation</w:t>
            </w:r>
          </w:p>
        </w:tc>
      </w:tr>
      <w:tr>
        <w:tc>
          <w:tcPr>
            <w:tcW w:type="dxa" w:w="2613"/>
            <w:vAlign w:val="top"/>
          </w:tcPr>
          <w:p>
            <w:r/>
            <w:r>
              <w:rPr>
                <w:rFonts w:ascii="Arial" w:hAnsi="Arial"/>
                <w:b w:val="0"/>
                <w:sz w:val="16"/>
              </w:rPr>
              <w:t>3</w:t>
            </w:r>
          </w:p>
        </w:tc>
        <w:tc>
          <w:tcPr>
            <w:tcW w:type="dxa" w:w="2613"/>
            <w:vAlign w:val="top"/>
          </w:tcPr>
          <w:p>
            <w:r/>
            <w:r>
              <w:rPr>
                <w:rFonts w:ascii="Arial" w:hAnsi="Arial"/>
                <w:b w:val="0"/>
                <w:sz w:val="16"/>
              </w:rPr>
              <w:t>Codex Tool Development Case Study</w:t>
            </w:r>
          </w:p>
        </w:tc>
        <w:tc>
          <w:tcPr>
            <w:tcW w:type="dxa" w:w="2613"/>
            <w:vAlign w:val="top"/>
          </w:tcPr>
          <w:p>
            <w:r/>
            <w:r>
              <w:rPr>
                <w:rFonts w:ascii="Arial" w:hAnsi="Arial"/>
                <w:b w:val="0"/>
                <w:sz w:val="16"/>
              </w:rPr>
              <w:t>Shows a controlled Codex-assisted workflow from SPEC/TASKS to tested utility.</w:t>
            </w:r>
          </w:p>
        </w:tc>
        <w:tc>
          <w:tcPr>
            <w:tcW w:type="dxa" w:w="2613"/>
            <w:vAlign w:val="top"/>
          </w:tcPr>
          <w:p>
            <w:r/>
            <w:r>
              <w:rPr>
                <w:rFonts w:ascii="Arial" w:hAnsi="Arial"/>
                <w:b w:val="0"/>
                <w:sz w:val="16"/>
              </w:rPr>
              <w:t>Codex, code generation, tests, repo planning, technical documentation</w:t>
            </w:r>
          </w:p>
        </w:tc>
      </w:tr>
      <w:tr>
        <w:tc>
          <w:tcPr>
            <w:tcW w:type="dxa" w:w="2613"/>
            <w:vAlign w:val="top"/>
          </w:tcPr>
          <w:p>
            <w:r/>
            <w:r>
              <w:rPr>
                <w:rFonts w:ascii="Arial" w:hAnsi="Arial"/>
                <w:b w:val="0"/>
                <w:sz w:val="16"/>
              </w:rPr>
              <w:t>4</w:t>
            </w:r>
          </w:p>
        </w:tc>
        <w:tc>
          <w:tcPr>
            <w:tcW w:type="dxa" w:w="2613"/>
            <w:vAlign w:val="top"/>
          </w:tcPr>
          <w:p>
            <w:r/>
            <w:r>
              <w:rPr>
                <w:rFonts w:ascii="Arial" w:hAnsi="Arial"/>
                <w:b w:val="0"/>
                <w:sz w:val="16"/>
              </w:rPr>
              <w:t>Design Review Readiness Assistant</w:t>
            </w:r>
          </w:p>
        </w:tc>
        <w:tc>
          <w:tcPr>
            <w:tcW w:type="dxa" w:w="2613"/>
            <w:vAlign w:val="top"/>
          </w:tcPr>
          <w:p>
            <w:r/>
            <w:r>
              <w:rPr>
                <w:rFonts w:ascii="Arial" w:hAnsi="Arial"/>
                <w:b w:val="0"/>
                <w:sz w:val="16"/>
              </w:rPr>
              <w:t>Builds a review packet with risks, assumptions, actions, and missing proof.</w:t>
            </w:r>
          </w:p>
        </w:tc>
        <w:tc>
          <w:tcPr>
            <w:tcW w:type="dxa" w:w="2613"/>
            <w:vAlign w:val="top"/>
          </w:tcPr>
          <w:p>
            <w:r/>
            <w:r>
              <w:rPr>
                <w:rFonts w:ascii="Arial" w:hAnsi="Arial"/>
                <w:b w:val="0"/>
                <w:sz w:val="16"/>
              </w:rPr>
              <w:t>Design-review readiness, risk registers, assumption tracking</w:t>
            </w:r>
          </w:p>
        </w:tc>
      </w:tr>
      <w:tr>
        <w:tc>
          <w:tcPr>
            <w:tcW w:type="dxa" w:w="2613"/>
            <w:vAlign w:val="top"/>
          </w:tcPr>
          <w:p>
            <w:r/>
            <w:r>
              <w:rPr>
                <w:rFonts w:ascii="Arial" w:hAnsi="Arial"/>
                <w:b w:val="0"/>
                <w:sz w:val="16"/>
              </w:rPr>
              <w:t>5</w:t>
            </w:r>
          </w:p>
        </w:tc>
        <w:tc>
          <w:tcPr>
            <w:tcW w:type="dxa" w:w="2613"/>
            <w:vAlign w:val="top"/>
          </w:tcPr>
          <w:p>
            <w:r/>
            <w:r>
              <w:rPr>
                <w:rFonts w:ascii="Arial" w:hAnsi="Arial"/>
                <w:b w:val="0"/>
                <w:sz w:val="16"/>
              </w:rPr>
              <w:t>Lighting Feasibility Mini-Simulator</w:t>
            </w:r>
          </w:p>
        </w:tc>
        <w:tc>
          <w:tcPr>
            <w:tcW w:type="dxa" w:w="2613"/>
            <w:vAlign w:val="top"/>
          </w:tcPr>
          <w:p>
            <w:r/>
            <w:r>
              <w:rPr>
                <w:rFonts w:ascii="Arial" w:hAnsi="Arial"/>
                <w:b w:val="0"/>
                <w:sz w:val="16"/>
              </w:rPr>
              <w:t>Screens synthetic LED load cases for first-pass feasibility.</w:t>
            </w:r>
          </w:p>
        </w:tc>
        <w:tc>
          <w:tcPr>
            <w:tcW w:type="dxa" w:w="2613"/>
            <w:vAlign w:val="top"/>
          </w:tcPr>
          <w:p>
            <w:r/>
            <w:r>
              <w:rPr>
                <w:rFonts w:ascii="Arial" w:hAnsi="Arial"/>
                <w:b w:val="0"/>
                <w:sz w:val="16"/>
              </w:rPr>
              <w:t>Power/thermal estimates, feasibility screening, plotting</w:t>
            </w:r>
          </w:p>
        </w:tc>
      </w:tr>
      <w:tr>
        <w:tc>
          <w:tcPr>
            <w:tcW w:type="dxa" w:w="2613"/>
            <w:vAlign w:val="top"/>
          </w:tcPr>
          <w:p>
            <w:r/>
            <w:r>
              <w:rPr>
                <w:rFonts w:ascii="Arial" w:hAnsi="Arial"/>
                <w:b w:val="0"/>
                <w:sz w:val="16"/>
              </w:rPr>
              <w:t>6</w:t>
            </w:r>
          </w:p>
        </w:tc>
        <w:tc>
          <w:tcPr>
            <w:tcW w:type="dxa" w:w="2613"/>
            <w:vAlign w:val="top"/>
          </w:tcPr>
          <w:p>
            <w:r/>
            <w:r>
              <w:rPr>
                <w:rFonts w:ascii="Arial" w:hAnsi="Arial"/>
                <w:b w:val="0"/>
                <w:sz w:val="16"/>
              </w:rPr>
              <w:t>AI Studio Engineering Bridge Demo</w:t>
            </w:r>
          </w:p>
        </w:tc>
        <w:tc>
          <w:tcPr>
            <w:tcW w:type="dxa" w:w="2613"/>
            <w:vAlign w:val="top"/>
          </w:tcPr>
          <w:p>
            <w:r/>
            <w:r>
              <w:rPr>
                <w:rFonts w:ascii="Arial" w:hAnsi="Arial"/>
                <w:b w:val="0"/>
                <w:sz w:val="16"/>
              </w:rPr>
              <w:t>Turns structured AI outputs into schema-validated engineering artifacts.</w:t>
            </w:r>
          </w:p>
        </w:tc>
        <w:tc>
          <w:tcPr>
            <w:tcW w:type="dxa" w:w="2613"/>
            <w:vAlign w:val="top"/>
          </w:tcPr>
          <w:p>
            <w:r/>
            <w:r>
              <w:rPr>
                <w:rFonts w:ascii="Arial" w:hAnsi="Arial"/>
                <w:b w:val="0"/>
                <w:sz w:val="16"/>
              </w:rPr>
              <w:t>Prompt engineering, schemas, validation, review gates</w:t>
            </w:r>
          </w:p>
        </w:tc>
      </w:tr>
    </w:tbl>
    <w:p>
      <w:pPr>
        <w:pStyle w:val="Heading1"/>
      </w:pPr>
      <w:r>
        <w:t>4. AI Fundamentals Demonstrated</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1F4E79"/>
          </w:tcPr>
          <w:p>
            <w:r/>
            <w:r>
              <w:rPr>
                <w:rFonts w:ascii="Arial" w:hAnsi="Arial"/>
                <w:b/>
                <w:color w:val="FFFFFF"/>
                <w:sz w:val="16"/>
              </w:rPr>
              <w:t>AI Fundamental</w:t>
            </w:r>
          </w:p>
        </w:tc>
        <w:tc>
          <w:tcPr>
            <w:tcW w:type="dxa" w:w="5227"/>
            <w:vAlign w:val="top"/>
            <w:shd w:fill="1F4E79"/>
          </w:tcPr>
          <w:p>
            <w:r/>
            <w:r>
              <w:rPr>
                <w:rFonts w:ascii="Arial" w:hAnsi="Arial"/>
                <w:b/>
                <w:color w:val="FFFFFF"/>
                <w:sz w:val="16"/>
              </w:rPr>
              <w:t>Portfolio Demonstration</w:t>
            </w:r>
          </w:p>
        </w:tc>
      </w:tr>
      <w:tr>
        <w:tc>
          <w:tcPr>
            <w:tcW w:type="dxa" w:w="5227"/>
            <w:vAlign w:val="top"/>
          </w:tcPr>
          <w:p>
            <w:r/>
            <w:r>
              <w:rPr>
                <w:rFonts w:ascii="Arial" w:hAnsi="Arial"/>
                <w:b w:val="0"/>
                <w:sz w:val="16"/>
              </w:rPr>
              <w:t>Prompt engineering</w:t>
            </w:r>
          </w:p>
        </w:tc>
        <w:tc>
          <w:tcPr>
            <w:tcW w:type="dxa" w:w="5227"/>
            <w:vAlign w:val="top"/>
          </w:tcPr>
          <w:p>
            <w:r/>
            <w:r>
              <w:rPr>
                <w:rFonts w:ascii="Arial" w:hAnsi="Arial"/>
                <w:b w:val="0"/>
                <w:sz w:val="16"/>
              </w:rPr>
              <w:t>Requests explicit engineering fields, uncertainty, assumptions, and review status.</w:t>
            </w:r>
          </w:p>
        </w:tc>
      </w:tr>
      <w:tr>
        <w:tc>
          <w:tcPr>
            <w:tcW w:type="dxa" w:w="5227"/>
            <w:vAlign w:val="top"/>
          </w:tcPr>
          <w:p>
            <w:r/>
            <w:r>
              <w:rPr>
                <w:rFonts w:ascii="Arial" w:hAnsi="Arial"/>
                <w:b w:val="0"/>
                <w:sz w:val="16"/>
              </w:rPr>
              <w:t>Context engineering</w:t>
            </w:r>
          </w:p>
        </w:tc>
        <w:tc>
          <w:tcPr>
            <w:tcW w:type="dxa" w:w="5227"/>
            <w:vAlign w:val="top"/>
          </w:tcPr>
          <w:p>
            <w:r/>
            <w:r>
              <w:rPr>
                <w:rFonts w:ascii="Arial" w:hAnsi="Arial"/>
                <w:b w:val="0"/>
                <w:sz w:val="16"/>
              </w:rPr>
              <w:t>Packages task, safe-data boundary, examples, schemas, and done criteria.</w:t>
            </w:r>
          </w:p>
        </w:tc>
      </w:tr>
      <w:tr>
        <w:tc>
          <w:tcPr>
            <w:tcW w:type="dxa" w:w="5227"/>
            <w:vAlign w:val="top"/>
          </w:tcPr>
          <w:p>
            <w:r/>
            <w:r>
              <w:rPr>
                <w:rFonts w:ascii="Arial" w:hAnsi="Arial"/>
                <w:b w:val="0"/>
                <w:sz w:val="16"/>
              </w:rPr>
              <w:t>Structured outputs</w:t>
            </w:r>
          </w:p>
        </w:tc>
        <w:tc>
          <w:tcPr>
            <w:tcW w:type="dxa" w:w="5227"/>
            <w:vAlign w:val="top"/>
          </w:tcPr>
          <w:p>
            <w:r/>
            <w:r>
              <w:rPr>
                <w:rFonts w:ascii="Arial" w:hAnsi="Arial"/>
                <w:b w:val="0"/>
                <w:sz w:val="16"/>
              </w:rPr>
              <w:t>Produces CSV, Markdown, Excel, and JSON-ready artifacts.</w:t>
            </w:r>
          </w:p>
        </w:tc>
      </w:tr>
      <w:tr>
        <w:tc>
          <w:tcPr>
            <w:tcW w:type="dxa" w:w="5227"/>
            <w:vAlign w:val="top"/>
          </w:tcPr>
          <w:p>
            <w:r/>
            <w:r>
              <w:rPr>
                <w:rFonts w:ascii="Arial" w:hAnsi="Arial"/>
                <w:b w:val="0"/>
                <w:sz w:val="16"/>
              </w:rPr>
              <w:t>Tool use</w:t>
            </w:r>
          </w:p>
        </w:tc>
        <w:tc>
          <w:tcPr>
            <w:tcW w:type="dxa" w:w="5227"/>
            <w:vAlign w:val="top"/>
          </w:tcPr>
          <w:p>
            <w:r/>
            <w:r>
              <w:rPr>
                <w:rFonts w:ascii="Arial" w:hAnsi="Arial"/>
                <w:b w:val="0"/>
                <w:sz w:val="16"/>
              </w:rPr>
              <w:t>Uses Codex and scripts to create repeatable outputs instead of one-off answers.</w:t>
            </w:r>
          </w:p>
        </w:tc>
      </w:tr>
      <w:tr>
        <w:tc>
          <w:tcPr>
            <w:tcW w:type="dxa" w:w="5227"/>
            <w:vAlign w:val="top"/>
          </w:tcPr>
          <w:p>
            <w:r/>
            <w:r>
              <w:rPr>
                <w:rFonts w:ascii="Arial" w:hAnsi="Arial"/>
                <w:b w:val="0"/>
                <w:sz w:val="16"/>
              </w:rPr>
              <w:t>Human-in-the-loop review</w:t>
            </w:r>
          </w:p>
        </w:tc>
        <w:tc>
          <w:tcPr>
            <w:tcW w:type="dxa" w:w="5227"/>
            <w:vAlign w:val="top"/>
          </w:tcPr>
          <w:p>
            <w:r/>
            <w:r>
              <w:rPr>
                <w:rFonts w:ascii="Arial" w:hAnsi="Arial"/>
                <w:b w:val="0"/>
                <w:sz w:val="16"/>
              </w:rPr>
              <w:t>Labels AI outputs as draft decision-support artifacts.</w:t>
            </w:r>
          </w:p>
        </w:tc>
      </w:tr>
      <w:tr>
        <w:tc>
          <w:tcPr>
            <w:tcW w:type="dxa" w:w="5227"/>
            <w:vAlign w:val="top"/>
          </w:tcPr>
          <w:p>
            <w:r/>
            <w:r>
              <w:rPr>
                <w:rFonts w:ascii="Arial" w:hAnsi="Arial"/>
                <w:b w:val="0"/>
                <w:sz w:val="16"/>
              </w:rPr>
              <w:t>Evaluation and validation</w:t>
            </w:r>
          </w:p>
        </w:tc>
        <w:tc>
          <w:tcPr>
            <w:tcW w:type="dxa" w:w="5227"/>
            <w:vAlign w:val="top"/>
          </w:tcPr>
          <w:p>
            <w:r/>
            <w:r>
              <w:rPr>
                <w:rFonts w:ascii="Arial" w:hAnsi="Arial"/>
                <w:b w:val="0"/>
                <w:sz w:val="16"/>
              </w:rPr>
              <w:t>Uses tests, schema checks, formula review, and proof-gap tracking.</w:t>
            </w:r>
          </w:p>
        </w:tc>
      </w:tr>
      <w:tr>
        <w:tc>
          <w:tcPr>
            <w:tcW w:type="dxa" w:w="5227"/>
            <w:vAlign w:val="top"/>
          </w:tcPr>
          <w:p>
            <w:r/>
            <w:r>
              <w:rPr>
                <w:rFonts w:ascii="Arial" w:hAnsi="Arial"/>
                <w:b w:val="0"/>
                <w:sz w:val="16"/>
              </w:rPr>
              <w:t>Data classification</w:t>
            </w:r>
          </w:p>
        </w:tc>
        <w:tc>
          <w:tcPr>
            <w:tcW w:type="dxa" w:w="5227"/>
            <w:vAlign w:val="top"/>
          </w:tcPr>
          <w:p>
            <w:r/>
            <w:r>
              <w:rPr>
                <w:rFonts w:ascii="Arial" w:hAnsi="Arial"/>
                <w:b w:val="0"/>
                <w:sz w:val="16"/>
              </w:rPr>
              <w:t>Marks artifacts safe to publish, needs review, internal only, or do not publish.</w:t>
            </w:r>
          </w:p>
        </w:tc>
      </w:tr>
      <w:tr>
        <w:tc>
          <w:tcPr>
            <w:tcW w:type="dxa" w:w="5227"/>
            <w:vAlign w:val="top"/>
          </w:tcPr>
          <w:p>
            <w:r/>
            <w:r>
              <w:rPr>
                <w:rFonts w:ascii="Arial" w:hAnsi="Arial"/>
                <w:b w:val="0"/>
                <w:sz w:val="16"/>
              </w:rPr>
              <w:t>Documentation automation</w:t>
            </w:r>
          </w:p>
        </w:tc>
        <w:tc>
          <w:tcPr>
            <w:tcW w:type="dxa" w:w="5227"/>
            <w:vAlign w:val="top"/>
          </w:tcPr>
          <w:p>
            <w:r/>
            <w:r>
              <w:rPr>
                <w:rFonts w:ascii="Arial" w:hAnsi="Arial"/>
                <w:b w:val="0"/>
                <w:sz w:val="16"/>
              </w:rPr>
              <w:t>Generates READMEs, case studies, review packets, and interview artifacts.</w:t>
            </w:r>
          </w:p>
        </w:tc>
      </w:tr>
    </w:tbl>
    <w:p>
      <w:pPr>
        <w:pStyle w:val="Heading1"/>
      </w:pPr>
      <w:r>
        <w:t>5. Engineering Skills Demonstrated</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1F4E79"/>
          </w:tcPr>
          <w:p>
            <w:r/>
            <w:r>
              <w:rPr>
                <w:rFonts w:ascii="Arial" w:hAnsi="Arial"/>
                <w:b/>
                <w:color w:val="FFFFFF"/>
                <w:sz w:val="16"/>
              </w:rPr>
              <w:t>Engineering Skill</w:t>
            </w:r>
          </w:p>
        </w:tc>
        <w:tc>
          <w:tcPr>
            <w:tcW w:type="dxa" w:w="5227"/>
            <w:vAlign w:val="top"/>
            <w:shd w:fill="1F4E79"/>
          </w:tcPr>
          <w:p>
            <w:r/>
            <w:r>
              <w:rPr>
                <w:rFonts w:ascii="Arial" w:hAnsi="Arial"/>
                <w:b/>
                <w:color w:val="FFFFFF"/>
                <w:sz w:val="16"/>
              </w:rPr>
              <w:t>Portfolio Demonstration</w:t>
            </w:r>
          </w:p>
        </w:tc>
      </w:tr>
      <w:tr>
        <w:tc>
          <w:tcPr>
            <w:tcW w:type="dxa" w:w="5227"/>
            <w:vAlign w:val="top"/>
          </w:tcPr>
          <w:p>
            <w:r/>
            <w:r>
              <w:rPr>
                <w:rFonts w:ascii="Arial" w:hAnsi="Arial"/>
                <w:b w:val="0"/>
                <w:sz w:val="16"/>
              </w:rPr>
              <w:t>Requirements engineering</w:t>
            </w:r>
          </w:p>
        </w:tc>
        <w:tc>
          <w:tcPr>
            <w:tcW w:type="dxa" w:w="5227"/>
            <w:vAlign w:val="top"/>
          </w:tcPr>
          <w:p>
            <w:r/>
            <w:r>
              <w:rPr>
                <w:rFonts w:ascii="Arial" w:hAnsi="Arial"/>
                <w:b w:val="0"/>
                <w:sz w:val="16"/>
              </w:rPr>
              <w:t>Requirement IDs, types, ambiguity flags, and verification hooks.</w:t>
            </w:r>
          </w:p>
        </w:tc>
      </w:tr>
      <w:tr>
        <w:tc>
          <w:tcPr>
            <w:tcW w:type="dxa" w:w="5227"/>
            <w:vAlign w:val="top"/>
          </w:tcPr>
          <w:p>
            <w:r/>
            <w:r>
              <w:rPr>
                <w:rFonts w:ascii="Arial" w:hAnsi="Arial"/>
                <w:b w:val="0"/>
                <w:sz w:val="16"/>
              </w:rPr>
              <w:t>Traceability</w:t>
            </w:r>
          </w:p>
        </w:tc>
        <w:tc>
          <w:tcPr>
            <w:tcW w:type="dxa" w:w="5227"/>
            <w:vAlign w:val="top"/>
          </w:tcPr>
          <w:p>
            <w:r/>
            <w:r>
              <w:rPr>
                <w:rFonts w:ascii="Arial" w:hAnsi="Arial"/>
                <w:b w:val="0"/>
                <w:sz w:val="16"/>
              </w:rPr>
              <w:t>Links requirements to risks, assumptions, verification methods, and review status.</w:t>
            </w:r>
          </w:p>
        </w:tc>
      </w:tr>
      <w:tr>
        <w:tc>
          <w:tcPr>
            <w:tcW w:type="dxa" w:w="5227"/>
            <w:vAlign w:val="top"/>
          </w:tcPr>
          <w:p>
            <w:r/>
            <w:r>
              <w:rPr>
                <w:rFonts w:ascii="Arial" w:hAnsi="Arial"/>
                <w:b w:val="0"/>
                <w:sz w:val="16"/>
              </w:rPr>
              <w:t>WCCA preparation</w:t>
            </w:r>
          </w:p>
        </w:tc>
        <w:tc>
          <w:tcPr>
            <w:tcW w:type="dxa" w:w="5227"/>
            <w:vAlign w:val="top"/>
          </w:tcPr>
          <w:p>
            <w:r/>
            <w:r>
              <w:rPr>
                <w:rFonts w:ascii="Arial" w:hAnsi="Arial"/>
                <w:b w:val="0"/>
                <w:sz w:val="16"/>
              </w:rPr>
              <w:t>Organizes tolerances, assumptions, corner cases, plots, and review memos.</w:t>
            </w:r>
          </w:p>
        </w:tc>
      </w:tr>
      <w:tr>
        <w:tc>
          <w:tcPr>
            <w:tcW w:type="dxa" w:w="5227"/>
            <w:vAlign w:val="top"/>
          </w:tcPr>
          <w:p>
            <w:r/>
            <w:r>
              <w:rPr>
                <w:rFonts w:ascii="Arial" w:hAnsi="Arial"/>
                <w:b w:val="0"/>
                <w:sz w:val="16"/>
              </w:rPr>
              <w:t>Validation planning</w:t>
            </w:r>
          </w:p>
        </w:tc>
        <w:tc>
          <w:tcPr>
            <w:tcW w:type="dxa" w:w="5227"/>
            <w:vAlign w:val="top"/>
          </w:tcPr>
          <w:p>
            <w:r/>
            <w:r>
              <w:rPr>
                <w:rFonts w:ascii="Arial" w:hAnsi="Arial"/>
                <w:b w:val="0"/>
                <w:sz w:val="16"/>
              </w:rPr>
              <w:t>Maps requirements to inspection, analysis, demonstration, or test.</w:t>
            </w:r>
          </w:p>
        </w:tc>
      </w:tr>
      <w:tr>
        <w:tc>
          <w:tcPr>
            <w:tcW w:type="dxa" w:w="5227"/>
            <w:vAlign w:val="top"/>
          </w:tcPr>
          <w:p>
            <w:r/>
            <w:r>
              <w:rPr>
                <w:rFonts w:ascii="Arial" w:hAnsi="Arial"/>
                <w:b w:val="0"/>
                <w:sz w:val="16"/>
              </w:rPr>
              <w:t>Risk/assumption tracking</w:t>
            </w:r>
          </w:p>
        </w:tc>
        <w:tc>
          <w:tcPr>
            <w:tcW w:type="dxa" w:w="5227"/>
            <w:vAlign w:val="top"/>
          </w:tcPr>
          <w:p>
            <w:r/>
            <w:r>
              <w:rPr>
                <w:rFonts w:ascii="Arial" w:hAnsi="Arial"/>
                <w:b w:val="0"/>
                <w:sz w:val="16"/>
              </w:rPr>
              <w:t>Separates draft AI output, assumptions, risks, and verified facts.</w:t>
            </w:r>
          </w:p>
        </w:tc>
      </w:tr>
      <w:tr>
        <w:tc>
          <w:tcPr>
            <w:tcW w:type="dxa" w:w="5227"/>
            <w:vAlign w:val="top"/>
          </w:tcPr>
          <w:p>
            <w:r/>
            <w:r>
              <w:rPr>
                <w:rFonts w:ascii="Arial" w:hAnsi="Arial"/>
                <w:b w:val="0"/>
                <w:sz w:val="16"/>
              </w:rPr>
              <w:t>Automotive lighting workflow</w:t>
            </w:r>
          </w:p>
        </w:tc>
        <w:tc>
          <w:tcPr>
            <w:tcW w:type="dxa" w:w="5227"/>
            <w:vAlign w:val="top"/>
          </w:tcPr>
          <w:p>
            <w:r/>
            <w:r>
              <w:rPr>
                <w:rFonts w:ascii="Arial" w:hAnsi="Arial"/>
                <w:b w:val="0"/>
                <w:sz w:val="16"/>
              </w:rPr>
              <w:t>Uses synthetic lighting modules, LED loads, DRL, diagnostics, and thermal cases.</w:t>
            </w:r>
          </w:p>
        </w:tc>
      </w:tr>
      <w:tr>
        <w:tc>
          <w:tcPr>
            <w:tcW w:type="dxa" w:w="5227"/>
            <w:vAlign w:val="top"/>
          </w:tcPr>
          <w:p>
            <w:r/>
            <w:r>
              <w:rPr>
                <w:rFonts w:ascii="Arial" w:hAnsi="Arial"/>
                <w:b w:val="0"/>
                <w:sz w:val="16"/>
              </w:rPr>
              <w:t>MATLAB/Python workflows</w:t>
            </w:r>
          </w:p>
        </w:tc>
        <w:tc>
          <w:tcPr>
            <w:tcW w:type="dxa" w:w="5227"/>
            <w:vAlign w:val="top"/>
          </w:tcPr>
          <w:p>
            <w:r/>
            <w:r>
              <w:rPr>
                <w:rFonts w:ascii="Arial" w:hAnsi="Arial"/>
                <w:b w:val="0"/>
                <w:sz w:val="16"/>
              </w:rPr>
              <w:t>Supports repeatable calculations, plots, CSV cleanup, and report generation.</w:t>
            </w:r>
          </w:p>
        </w:tc>
      </w:tr>
      <w:tr>
        <w:tc>
          <w:tcPr>
            <w:tcW w:type="dxa" w:w="5227"/>
            <w:vAlign w:val="top"/>
          </w:tcPr>
          <w:p>
            <w:r/>
            <w:r>
              <w:rPr>
                <w:rFonts w:ascii="Arial" w:hAnsi="Arial"/>
                <w:b w:val="0"/>
                <w:sz w:val="16"/>
              </w:rPr>
              <w:t>Technical documentation</w:t>
            </w:r>
          </w:p>
        </w:tc>
        <w:tc>
          <w:tcPr>
            <w:tcW w:type="dxa" w:w="5227"/>
            <w:vAlign w:val="top"/>
          </w:tcPr>
          <w:p>
            <w:r/>
            <w:r>
              <w:rPr>
                <w:rFonts w:ascii="Arial" w:hAnsi="Arial"/>
                <w:b w:val="0"/>
                <w:sz w:val="16"/>
              </w:rPr>
              <w:t>Builds public-safe case studies, README files, and interview language.</w:t>
            </w:r>
          </w:p>
        </w:tc>
      </w:tr>
    </w:tbl>
    <w:p>
      <w:pPr>
        <w:pStyle w:val="Heading1"/>
      </w:pPr>
      <w:r>
        <w:t>6. Case Study Pattern</w:t>
      </w:r>
    </w:p>
    <w:p>
      <w:pPr>
        <w:pStyle w:val="Heading2"/>
      </w:pPr>
      <w:r>
        <w:t>Requirements-to-Verification Tool</w:t>
      </w:r>
    </w:p>
    <w:p>
      <w:r>
        <w:t>Converts synthetic requirements into a traceable verification matrix.</w:t>
      </w:r>
    </w:p>
    <w:p>
      <w:pPr>
        <w:pStyle w:val="ListBullet"/>
        <w:spacing w:after="20"/>
      </w:pPr>
      <w:r>
        <w:rPr>
          <w:sz w:val="18"/>
        </w:rPr>
        <w:t>Engineering proof: Requirements, verification planning, traceability, structured outputs</w:t>
      </w:r>
    </w:p>
    <w:p>
      <w:pPr>
        <w:pStyle w:val="ListBullet"/>
        <w:spacing w:after="20"/>
      </w:pPr>
      <w:r>
        <w:rPr>
          <w:sz w:val="18"/>
        </w:rPr>
        <w:t>Required evidence: README, synthetic input, synthetic output, screenshot placeholder, review checklist.</w:t>
      </w:r>
    </w:p>
    <w:p>
      <w:pPr>
        <w:pStyle w:val="ListBullet"/>
        <w:spacing w:after="20"/>
      </w:pPr>
      <w:r>
        <w:rPr>
          <w:sz w:val="18"/>
        </w:rPr>
        <w:t>Codex contribution: repo planning, code scaffolding, tests, refactoring, and documentation drafts.</w:t>
      </w:r>
    </w:p>
    <w:p>
      <w:pPr>
        <w:pStyle w:val="ListBullet"/>
        <w:spacing w:after="20"/>
      </w:pPr>
      <w:r>
        <w:rPr>
          <w:sz w:val="18"/>
        </w:rPr>
        <w:t>Jose contribution: problem definition, engineering taxonomy, assumptions review, formula/logic review, and final judgment.</w:t>
      </w:r>
    </w:p>
    <w:p>
      <w:pPr>
        <w:pStyle w:val="Heading2"/>
      </w:pPr>
      <w:r>
        <w:t>AI-Assisted WCCA Prep Tool</w:t>
      </w:r>
    </w:p>
    <w:p>
      <w:r>
        <w:t>Organizes synthetic WCCA parameters, tolerances, plots, and review notes.</w:t>
      </w:r>
    </w:p>
    <w:p>
      <w:pPr>
        <w:pStyle w:val="ListBullet"/>
        <w:spacing w:after="20"/>
      </w:pPr>
      <w:r>
        <w:rPr>
          <w:sz w:val="18"/>
        </w:rPr>
        <w:t>Engineering proof: WCCA prep, tolerance analysis, MATLAB/Python, documentation automation</w:t>
      </w:r>
    </w:p>
    <w:p>
      <w:pPr>
        <w:pStyle w:val="ListBullet"/>
        <w:spacing w:after="20"/>
      </w:pPr>
      <w:r>
        <w:rPr>
          <w:sz w:val="18"/>
        </w:rPr>
        <w:t>Required evidence: README, synthetic input, synthetic output, screenshot placeholder, review checklist.</w:t>
      </w:r>
    </w:p>
    <w:p>
      <w:pPr>
        <w:pStyle w:val="ListBullet"/>
        <w:spacing w:after="20"/>
      </w:pPr>
      <w:r>
        <w:rPr>
          <w:sz w:val="18"/>
        </w:rPr>
        <w:t>Codex contribution: repo planning, code scaffolding, tests, refactoring, and documentation drafts.</w:t>
      </w:r>
    </w:p>
    <w:p>
      <w:pPr>
        <w:pStyle w:val="ListBullet"/>
        <w:spacing w:after="20"/>
      </w:pPr>
      <w:r>
        <w:rPr>
          <w:sz w:val="18"/>
        </w:rPr>
        <w:t>Jose contribution: problem definition, engineering taxonomy, assumptions review, formula/logic review, and final judgment.</w:t>
      </w:r>
    </w:p>
    <w:p>
      <w:pPr>
        <w:pStyle w:val="Heading2"/>
      </w:pPr>
      <w:r>
        <w:t>Codex Tool Development Case Study</w:t>
      </w:r>
    </w:p>
    <w:p>
      <w:r>
        <w:t>Shows a controlled Codex-assisted workflow from SPEC/TASKS to tested utility.</w:t>
      </w:r>
    </w:p>
    <w:p>
      <w:pPr>
        <w:pStyle w:val="ListBullet"/>
        <w:spacing w:after="20"/>
      </w:pPr>
      <w:r>
        <w:rPr>
          <w:sz w:val="18"/>
        </w:rPr>
        <w:t>Engineering proof: Codex, code generation, tests, repo planning, technical documentation</w:t>
      </w:r>
    </w:p>
    <w:p>
      <w:pPr>
        <w:pStyle w:val="ListBullet"/>
        <w:spacing w:after="20"/>
      </w:pPr>
      <w:r>
        <w:rPr>
          <w:sz w:val="18"/>
        </w:rPr>
        <w:t>Required evidence: README, synthetic input, synthetic output, screenshot placeholder, review checklist.</w:t>
      </w:r>
    </w:p>
    <w:p>
      <w:pPr>
        <w:pStyle w:val="ListBullet"/>
        <w:spacing w:after="20"/>
      </w:pPr>
      <w:r>
        <w:rPr>
          <w:sz w:val="18"/>
        </w:rPr>
        <w:t>Codex contribution: repo planning, code scaffolding, tests, refactoring, and documentation drafts.</w:t>
      </w:r>
    </w:p>
    <w:p>
      <w:pPr>
        <w:pStyle w:val="ListBullet"/>
        <w:spacing w:after="20"/>
      </w:pPr>
      <w:r>
        <w:rPr>
          <w:sz w:val="18"/>
        </w:rPr>
        <w:t>Jose contribution: problem definition, engineering taxonomy, assumptions review, formula/logic review, and final judgment.</w:t>
      </w:r>
    </w:p>
    <w:p>
      <w:pPr>
        <w:pStyle w:val="Heading2"/>
      </w:pPr>
      <w:r>
        <w:t>Design Review Readiness Assistant</w:t>
      </w:r>
    </w:p>
    <w:p>
      <w:r>
        <w:t>Builds a review packet with risks, assumptions, actions, and missing proof.</w:t>
      </w:r>
    </w:p>
    <w:p>
      <w:pPr>
        <w:pStyle w:val="ListBullet"/>
        <w:spacing w:after="20"/>
      </w:pPr>
      <w:r>
        <w:rPr>
          <w:sz w:val="18"/>
        </w:rPr>
        <w:t>Engineering proof: Design-review readiness, risk registers, assumption tracking</w:t>
      </w:r>
    </w:p>
    <w:p>
      <w:pPr>
        <w:pStyle w:val="ListBullet"/>
        <w:spacing w:after="20"/>
      </w:pPr>
      <w:r>
        <w:rPr>
          <w:sz w:val="18"/>
        </w:rPr>
        <w:t>Required evidence: README, synthetic input, synthetic output, screenshot placeholder, review checklist.</w:t>
      </w:r>
    </w:p>
    <w:p>
      <w:pPr>
        <w:pStyle w:val="ListBullet"/>
        <w:spacing w:after="20"/>
      </w:pPr>
      <w:r>
        <w:rPr>
          <w:sz w:val="18"/>
        </w:rPr>
        <w:t>Codex contribution: repo planning, code scaffolding, tests, refactoring, and documentation drafts.</w:t>
      </w:r>
    </w:p>
    <w:p>
      <w:pPr>
        <w:pStyle w:val="ListBullet"/>
        <w:spacing w:after="20"/>
      </w:pPr>
      <w:r>
        <w:rPr>
          <w:sz w:val="18"/>
        </w:rPr>
        <w:t>Jose contribution: problem definition, engineering taxonomy, assumptions review, formula/logic review, and final judgment.</w:t>
      </w:r>
    </w:p>
    <w:p>
      <w:pPr>
        <w:pStyle w:val="Heading2"/>
      </w:pPr>
      <w:r>
        <w:t>Lighting Feasibility Mini-Simulator</w:t>
      </w:r>
    </w:p>
    <w:p>
      <w:r>
        <w:t>Screens synthetic LED load cases for first-pass feasibility.</w:t>
      </w:r>
    </w:p>
    <w:p>
      <w:pPr>
        <w:pStyle w:val="ListBullet"/>
        <w:spacing w:after="20"/>
      </w:pPr>
      <w:r>
        <w:rPr>
          <w:sz w:val="18"/>
        </w:rPr>
        <w:t>Engineering proof: Power/thermal estimates, feasibility screening, plotting</w:t>
      </w:r>
    </w:p>
    <w:p>
      <w:pPr>
        <w:pStyle w:val="ListBullet"/>
        <w:spacing w:after="20"/>
      </w:pPr>
      <w:r>
        <w:rPr>
          <w:sz w:val="18"/>
        </w:rPr>
        <w:t>Required evidence: README, synthetic input, synthetic output, screenshot placeholder, review checklist.</w:t>
      </w:r>
    </w:p>
    <w:p>
      <w:pPr>
        <w:pStyle w:val="ListBullet"/>
        <w:spacing w:after="20"/>
      </w:pPr>
      <w:r>
        <w:rPr>
          <w:sz w:val="18"/>
        </w:rPr>
        <w:t>Codex contribution: repo planning, code scaffolding, tests, refactoring, and documentation drafts.</w:t>
      </w:r>
    </w:p>
    <w:p>
      <w:pPr>
        <w:pStyle w:val="ListBullet"/>
        <w:spacing w:after="20"/>
      </w:pPr>
      <w:r>
        <w:rPr>
          <w:sz w:val="18"/>
        </w:rPr>
        <w:t>Jose contribution: problem definition, engineering taxonomy, assumptions review, formula/logic review, and final judgment.</w:t>
      </w:r>
    </w:p>
    <w:p>
      <w:pPr>
        <w:pStyle w:val="Heading2"/>
      </w:pPr>
      <w:r>
        <w:t>AI Studio Engineering Bridge Demo</w:t>
      </w:r>
    </w:p>
    <w:p>
      <w:r>
        <w:t>Turns structured AI outputs into schema-validated engineering artifacts.</w:t>
      </w:r>
    </w:p>
    <w:p>
      <w:pPr>
        <w:pStyle w:val="ListBullet"/>
        <w:spacing w:after="20"/>
      </w:pPr>
      <w:r>
        <w:rPr>
          <w:sz w:val="18"/>
        </w:rPr>
        <w:t>Engineering proof: Prompt engineering, schemas, validation, review gates</w:t>
      </w:r>
    </w:p>
    <w:p>
      <w:pPr>
        <w:pStyle w:val="ListBullet"/>
        <w:spacing w:after="20"/>
      </w:pPr>
      <w:r>
        <w:rPr>
          <w:sz w:val="18"/>
        </w:rPr>
        <w:t>Required evidence: README, synthetic input, synthetic output, screenshot placeholder, review checklist.</w:t>
      </w:r>
    </w:p>
    <w:p>
      <w:pPr>
        <w:pStyle w:val="ListBullet"/>
        <w:spacing w:after="20"/>
      </w:pPr>
      <w:r>
        <w:rPr>
          <w:sz w:val="18"/>
        </w:rPr>
        <w:t>Codex contribution: repo planning, code scaffolding, tests, refactoring, and documentation drafts.</w:t>
      </w:r>
    </w:p>
    <w:p>
      <w:pPr>
        <w:pStyle w:val="ListBullet"/>
        <w:spacing w:after="20"/>
      </w:pPr>
      <w:r>
        <w:rPr>
          <w:sz w:val="18"/>
        </w:rPr>
        <w:t>Jose contribution: problem definition, engineering taxonomy, assumptions review, formula/logic review, and final judgment.</w:t>
      </w:r>
    </w:p>
    <w:p>
      <w:pPr>
        <w:pStyle w:val="Heading1"/>
      </w:pPr>
      <w:r>
        <w:t>7. Sanitization Boundary</w:t>
      </w:r>
    </w:p>
    <w:p>
      <w:r>
        <w:t>All public artifacts use synthetic examples only. Do not include proprietary employer, customer, supplier, OEM, program, schematic, BOM, harness, cost, internal test, internal requirement, file path, repo name, ticket number, part number, or internal document details.</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1F4E79"/>
          </w:tcPr>
          <w:p>
            <w:r/>
            <w:r>
              <w:rPr>
                <w:rFonts w:ascii="Arial" w:hAnsi="Arial"/>
                <w:b/>
                <w:color w:val="FFFFFF"/>
                <w:sz w:val="16"/>
              </w:rPr>
              <w:t>Sensitive Material</w:t>
            </w:r>
          </w:p>
        </w:tc>
        <w:tc>
          <w:tcPr>
            <w:tcW w:type="dxa" w:w="5227"/>
            <w:vAlign w:val="top"/>
            <w:shd w:fill="1F4E79"/>
          </w:tcPr>
          <w:p>
            <w:r/>
            <w:r>
              <w:rPr>
                <w:rFonts w:ascii="Arial" w:hAnsi="Arial"/>
                <w:b/>
                <w:color w:val="FFFFFF"/>
                <w:sz w:val="16"/>
              </w:rPr>
              <w:t>Public Substitute</w:t>
            </w:r>
          </w:p>
        </w:tc>
      </w:tr>
      <w:tr>
        <w:tc>
          <w:tcPr>
            <w:tcW w:type="dxa" w:w="5227"/>
            <w:vAlign w:val="top"/>
          </w:tcPr>
          <w:p>
            <w:r/>
            <w:r>
              <w:rPr>
                <w:rFonts w:ascii="Arial" w:hAnsi="Arial"/>
                <w:b w:val="0"/>
                <w:sz w:val="16"/>
              </w:rPr>
              <w:t>Real requirement text</w:t>
            </w:r>
          </w:p>
        </w:tc>
        <w:tc>
          <w:tcPr>
            <w:tcW w:type="dxa" w:w="5227"/>
            <w:vAlign w:val="top"/>
          </w:tcPr>
          <w:p>
            <w:r/>
            <w:r>
              <w:rPr>
                <w:rFonts w:ascii="Arial" w:hAnsi="Arial"/>
                <w:b w:val="0"/>
                <w:sz w:val="16"/>
              </w:rPr>
              <w:t>Synthetic requirement with generic ID</w:t>
            </w:r>
          </w:p>
        </w:tc>
      </w:tr>
      <w:tr>
        <w:tc>
          <w:tcPr>
            <w:tcW w:type="dxa" w:w="5227"/>
            <w:vAlign w:val="top"/>
          </w:tcPr>
          <w:p>
            <w:r/>
            <w:r>
              <w:rPr>
                <w:rFonts w:ascii="Arial" w:hAnsi="Arial"/>
                <w:b w:val="0"/>
                <w:sz w:val="16"/>
              </w:rPr>
              <w:t>Real schematic or BOM</w:t>
            </w:r>
          </w:p>
        </w:tc>
        <w:tc>
          <w:tcPr>
            <w:tcW w:type="dxa" w:w="5227"/>
            <w:vAlign w:val="top"/>
          </w:tcPr>
          <w:p>
            <w:r/>
            <w:r>
              <w:rPr>
                <w:rFonts w:ascii="Arial" w:hAnsi="Arial"/>
                <w:b w:val="0"/>
                <w:sz w:val="16"/>
              </w:rPr>
              <w:t>Redrawn block diagram or generic component-function table</w:t>
            </w:r>
          </w:p>
        </w:tc>
      </w:tr>
      <w:tr>
        <w:tc>
          <w:tcPr>
            <w:tcW w:type="dxa" w:w="5227"/>
            <w:vAlign w:val="top"/>
          </w:tcPr>
          <w:p>
            <w:r/>
            <w:r>
              <w:rPr>
                <w:rFonts w:ascii="Arial" w:hAnsi="Arial"/>
                <w:b w:val="0"/>
                <w:sz w:val="16"/>
              </w:rPr>
              <w:t>Real WCCA values</w:t>
            </w:r>
          </w:p>
        </w:tc>
        <w:tc>
          <w:tcPr>
            <w:tcW w:type="dxa" w:w="5227"/>
            <w:vAlign w:val="top"/>
          </w:tcPr>
          <w:p>
            <w:r/>
            <w:r>
              <w:rPr>
                <w:rFonts w:ascii="Arial" w:hAnsi="Arial"/>
                <w:b w:val="0"/>
                <w:sz w:val="16"/>
              </w:rPr>
              <w:t>Generated LED-driver demo values</w:t>
            </w:r>
          </w:p>
        </w:tc>
      </w:tr>
      <w:tr>
        <w:tc>
          <w:tcPr>
            <w:tcW w:type="dxa" w:w="5227"/>
            <w:vAlign w:val="top"/>
          </w:tcPr>
          <w:p>
            <w:r/>
            <w:r>
              <w:rPr>
                <w:rFonts w:ascii="Arial" w:hAnsi="Arial"/>
                <w:b w:val="0"/>
                <w:sz w:val="16"/>
              </w:rPr>
              <w:t>Internal screenshot</w:t>
            </w:r>
          </w:p>
        </w:tc>
        <w:tc>
          <w:tcPr>
            <w:tcW w:type="dxa" w:w="5227"/>
            <w:vAlign w:val="top"/>
          </w:tcPr>
          <w:p>
            <w:r/>
            <w:r>
              <w:rPr>
                <w:rFonts w:ascii="Arial" w:hAnsi="Arial"/>
                <w:b w:val="0"/>
                <w:sz w:val="16"/>
              </w:rPr>
              <w:t>Recreated mockup using synthetic data</w:t>
            </w:r>
          </w:p>
        </w:tc>
      </w:tr>
      <w:tr>
        <w:tc>
          <w:tcPr>
            <w:tcW w:type="dxa" w:w="5227"/>
            <w:vAlign w:val="top"/>
          </w:tcPr>
          <w:p>
            <w:r/>
            <w:r>
              <w:rPr>
                <w:rFonts w:ascii="Arial" w:hAnsi="Arial"/>
                <w:b w:val="0"/>
                <w:sz w:val="16"/>
              </w:rPr>
              <w:t>Workflow pattern</w:t>
            </w:r>
          </w:p>
        </w:tc>
        <w:tc>
          <w:tcPr>
            <w:tcW w:type="dxa" w:w="5227"/>
            <w:vAlign w:val="top"/>
          </w:tcPr>
          <w:p>
            <w:r/>
            <w:r>
              <w:rPr>
                <w:rFonts w:ascii="Arial" w:hAnsi="Arial"/>
                <w:b w:val="0"/>
                <w:sz w:val="16"/>
              </w:rPr>
              <w:t>Generic description after sanitization review</w:t>
            </w:r>
          </w:p>
        </w:tc>
      </w:tr>
    </w:tbl>
    <w:p>
      <w:pPr>
        <w:pStyle w:val="Heading1"/>
      </w:pPr>
      <w:r>
        <w:t>8. Interview Story Bank Summary</w:t>
      </w:r>
    </w:p>
    <w:p>
      <w:pPr>
        <w:pStyle w:val="ListBullet"/>
        <w:spacing w:after="20"/>
      </w:pPr>
      <w:r>
        <w:rPr>
          <w:sz w:val="18"/>
        </w:rPr>
        <w:t>Requirements traceability: scattered input to reviewed trace matrix.</w:t>
      </w:r>
    </w:p>
    <w:p>
      <w:pPr>
        <w:pStyle w:val="ListBullet"/>
        <w:spacing w:after="20"/>
      </w:pPr>
      <w:r>
        <w:rPr>
          <w:sz w:val="18"/>
        </w:rPr>
        <w:t>WCCA prep: scattered assumptions to organized review package.</w:t>
      </w:r>
    </w:p>
    <w:p>
      <w:pPr>
        <w:pStyle w:val="ListBullet"/>
        <w:spacing w:after="20"/>
      </w:pPr>
      <w:r>
        <w:rPr>
          <w:sz w:val="18"/>
        </w:rPr>
        <w:t>Codex tool building: engineering bottleneck to tested workflow utility.</w:t>
      </w:r>
    </w:p>
    <w:p>
      <w:pPr>
        <w:pStyle w:val="ListBullet"/>
        <w:spacing w:after="20"/>
      </w:pPr>
      <w:r>
        <w:rPr>
          <w:sz w:val="18"/>
        </w:rPr>
        <w:t>Governance: synthetic data, classifications, and human review gates.</w:t>
      </w:r>
    </w:p>
    <w:p>
      <w:pPr>
        <w:pStyle w:val="Heading1"/>
      </w:pPr>
      <w:r>
        <w:t>9. Resume and LinkedIn Claim Controls</w:t>
      </w:r>
    </w:p>
    <w:p>
      <w:pPr>
        <w:pStyle w:val="ListBullet"/>
        <w:spacing w:after="20"/>
      </w:pPr>
      <w:r>
        <w:rPr>
          <w:sz w:val="18"/>
        </w:rPr>
        <w:t>Use AI-assisted and Codex-assisted language.</w:t>
      </w:r>
    </w:p>
    <w:p>
      <w:pPr>
        <w:pStyle w:val="ListBullet"/>
        <w:spacing w:after="20"/>
      </w:pPr>
      <w:r>
        <w:rPr>
          <w:sz w:val="18"/>
        </w:rPr>
        <w:t>Separate completed work from planned demos.</w:t>
      </w:r>
    </w:p>
    <w:p>
      <w:pPr>
        <w:pStyle w:val="ListBullet"/>
        <w:spacing w:after="20"/>
      </w:pPr>
      <w:r>
        <w:rPr>
          <w:sz w:val="18"/>
        </w:rPr>
        <w:t>Do not claim AI approves designs.</w:t>
      </w:r>
    </w:p>
    <w:p>
      <w:pPr>
        <w:pStyle w:val="ListBullet"/>
        <w:spacing w:after="20"/>
      </w:pPr>
      <w:r>
        <w:rPr>
          <w:sz w:val="18"/>
        </w:rPr>
        <w:t>Do not attach confidential proof to public claims.</w:t>
      </w:r>
    </w:p>
    <w:p>
      <w:pPr>
        <w:pStyle w:val="ListBullet"/>
        <w:spacing w:after="20"/>
      </w:pPr>
      <w:r>
        <w:rPr>
          <w:sz w:val="18"/>
        </w:rPr>
        <w:t>Point to synthetic public demos and human-reviewed workflows.</w:t>
      </w:r>
    </w:p>
    <w:p>
      <w:pPr>
        <w:pStyle w:val="Heading1"/>
      </w:pPr>
      <w:r>
        <w:t>10. 30 / 60 / 90 Day Build Plan</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top"/>
            <w:shd w:fill="1F4E79"/>
          </w:tcPr>
          <w:p>
            <w:r/>
            <w:r>
              <w:rPr>
                <w:rFonts w:ascii="Arial" w:hAnsi="Arial"/>
                <w:b/>
                <w:color w:val="FFFFFF"/>
                <w:sz w:val="16"/>
              </w:rPr>
              <w:t>Window</w:t>
            </w:r>
          </w:p>
        </w:tc>
        <w:tc>
          <w:tcPr>
            <w:tcW w:type="dxa" w:w="3485"/>
            <w:vAlign w:val="top"/>
            <w:shd w:fill="1F4E79"/>
          </w:tcPr>
          <w:p>
            <w:r/>
            <w:r>
              <w:rPr>
                <w:rFonts w:ascii="Arial" w:hAnsi="Arial"/>
                <w:b/>
                <w:color w:val="FFFFFF"/>
                <w:sz w:val="16"/>
              </w:rPr>
              <w:t>Goal</w:t>
            </w:r>
          </w:p>
        </w:tc>
        <w:tc>
          <w:tcPr>
            <w:tcW w:type="dxa" w:w="3485"/>
            <w:vAlign w:val="top"/>
            <w:shd w:fill="1F4E79"/>
          </w:tcPr>
          <w:p>
            <w:r/>
            <w:r>
              <w:rPr>
                <w:rFonts w:ascii="Arial" w:hAnsi="Arial"/>
                <w:b/>
                <w:color w:val="FFFFFF"/>
                <w:sz w:val="16"/>
              </w:rPr>
              <w:t>Deliverables</w:t>
            </w:r>
          </w:p>
        </w:tc>
      </w:tr>
      <w:tr>
        <w:tc>
          <w:tcPr>
            <w:tcW w:type="dxa" w:w="3485"/>
            <w:vAlign w:val="top"/>
          </w:tcPr>
          <w:p>
            <w:r/>
            <w:r>
              <w:rPr>
                <w:rFonts w:ascii="Arial" w:hAnsi="Arial"/>
                <w:b w:val="0"/>
                <w:sz w:val="16"/>
              </w:rPr>
              <w:t>First 30 days</w:t>
            </w:r>
          </w:p>
        </w:tc>
        <w:tc>
          <w:tcPr>
            <w:tcW w:type="dxa" w:w="3485"/>
            <w:vAlign w:val="top"/>
          </w:tcPr>
          <w:p>
            <w:r/>
            <w:r>
              <w:rPr>
                <w:rFonts w:ascii="Arial" w:hAnsi="Arial"/>
                <w:b w:val="0"/>
                <w:sz w:val="16"/>
              </w:rPr>
              <w:t>Build proof spine</w:t>
            </w:r>
          </w:p>
        </w:tc>
        <w:tc>
          <w:tcPr>
            <w:tcW w:type="dxa" w:w="3485"/>
            <w:vAlign w:val="top"/>
          </w:tcPr>
          <w:p>
            <w:r/>
            <w:r>
              <w:rPr>
                <w:rFonts w:ascii="Arial" w:hAnsi="Arial"/>
                <w:b w:val="0"/>
                <w:sz w:val="16"/>
              </w:rPr>
              <w:t>Requirements-to-Verification demo, WCCA prep demo, Codex case study, synthetic CSVs, first screenshots</w:t>
            </w:r>
          </w:p>
        </w:tc>
      </w:tr>
      <w:tr>
        <w:tc>
          <w:tcPr>
            <w:tcW w:type="dxa" w:w="3485"/>
            <w:vAlign w:val="top"/>
          </w:tcPr>
          <w:p>
            <w:r/>
            <w:r>
              <w:rPr>
                <w:rFonts w:ascii="Arial" w:hAnsi="Arial"/>
                <w:b w:val="0"/>
                <w:sz w:val="16"/>
              </w:rPr>
              <w:t>Days 31-60</w:t>
            </w:r>
          </w:p>
        </w:tc>
        <w:tc>
          <w:tcPr>
            <w:tcW w:type="dxa" w:w="3485"/>
            <w:vAlign w:val="top"/>
          </w:tcPr>
          <w:p>
            <w:r/>
            <w:r>
              <w:rPr>
                <w:rFonts w:ascii="Arial" w:hAnsi="Arial"/>
                <w:b w:val="0"/>
                <w:sz w:val="16"/>
              </w:rPr>
              <w:t>Make it interview-ready</w:t>
            </w:r>
          </w:p>
        </w:tc>
        <w:tc>
          <w:tcPr>
            <w:tcW w:type="dxa" w:w="3485"/>
            <w:vAlign w:val="top"/>
          </w:tcPr>
          <w:p>
            <w:r/>
            <w:r>
              <w:rPr>
                <w:rFonts w:ascii="Arial" w:hAnsi="Arial"/>
                <w:b w:val="0"/>
                <w:sz w:val="16"/>
              </w:rPr>
              <w:t>Case-study pages, README polish, test transcripts, plot gallery, one-page handout</w:t>
            </w:r>
          </w:p>
        </w:tc>
      </w:tr>
      <w:tr>
        <w:tc>
          <w:tcPr>
            <w:tcW w:type="dxa" w:w="3485"/>
            <w:vAlign w:val="top"/>
          </w:tcPr>
          <w:p>
            <w:r/>
            <w:r>
              <w:rPr>
                <w:rFonts w:ascii="Arial" w:hAnsi="Arial"/>
                <w:b w:val="0"/>
                <w:sz w:val="16"/>
              </w:rPr>
              <w:t>Days 61-90</w:t>
            </w:r>
          </w:p>
        </w:tc>
        <w:tc>
          <w:tcPr>
            <w:tcW w:type="dxa" w:w="3485"/>
            <w:vAlign w:val="top"/>
          </w:tcPr>
          <w:p>
            <w:r/>
            <w:r>
              <w:rPr>
                <w:rFonts w:ascii="Arial" w:hAnsi="Arial"/>
                <w:b w:val="0"/>
                <w:sz w:val="16"/>
              </w:rPr>
              <w:t>Add depth and polish</w:t>
            </w:r>
          </w:p>
        </w:tc>
        <w:tc>
          <w:tcPr>
            <w:tcW w:type="dxa" w:w="3485"/>
            <w:vAlign w:val="top"/>
          </w:tcPr>
          <w:p>
            <w:r/>
            <w:r>
              <w:rPr>
                <w:rFonts w:ascii="Arial" w:hAnsi="Arial"/>
                <w:b w:val="0"/>
                <w:sz w:val="16"/>
              </w:rPr>
              <w:t>Demo videos, Streamlit UI mockups, metrics, website copy, full repo walkthrough</w:t>
            </w:r>
          </w:p>
        </w:tc>
      </w:tr>
    </w:tbl>
    <w:p>
      <w:r>
        <w:br w:type="page"/>
      </w:r>
    </w:p>
    <w:p>
      <w:pPr>
        <w:pStyle w:val="Heading1"/>
      </w:pPr>
      <w:r>
        <w:t>11. Source Pack Index</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vAlign w:val="top"/>
            <w:shd w:fill="1F4E79"/>
          </w:tcPr>
          <w:p>
            <w:r/>
            <w:r>
              <w:rPr>
                <w:rFonts w:ascii="Arial" w:hAnsi="Arial"/>
                <w:b/>
                <w:color w:val="FFFFFF"/>
                <w:sz w:val="16"/>
              </w:rPr>
              <w:t>#</w:t>
            </w:r>
          </w:p>
        </w:tc>
        <w:tc>
          <w:tcPr>
            <w:tcW w:type="dxa" w:w="2613"/>
            <w:vAlign w:val="top"/>
            <w:shd w:fill="1F4E79"/>
          </w:tcPr>
          <w:p>
            <w:r/>
            <w:r>
              <w:rPr>
                <w:rFonts w:ascii="Arial" w:hAnsi="Arial"/>
                <w:b/>
                <w:color w:val="FFFFFF"/>
                <w:sz w:val="16"/>
              </w:rPr>
              <w:t>File</w:t>
            </w:r>
          </w:p>
        </w:tc>
        <w:tc>
          <w:tcPr>
            <w:tcW w:type="dxa" w:w="2613"/>
            <w:vAlign w:val="top"/>
            <w:shd w:fill="1F4E79"/>
          </w:tcPr>
          <w:p>
            <w:r/>
            <w:r>
              <w:rPr>
                <w:rFonts w:ascii="Arial" w:hAnsi="Arial"/>
                <w:b/>
                <w:color w:val="FFFFFF"/>
                <w:sz w:val="16"/>
              </w:rPr>
              <w:t>#</w:t>
            </w:r>
          </w:p>
        </w:tc>
        <w:tc>
          <w:tcPr>
            <w:tcW w:type="dxa" w:w="2613"/>
            <w:vAlign w:val="top"/>
            <w:shd w:fill="1F4E79"/>
          </w:tcPr>
          <w:p>
            <w:r/>
            <w:r>
              <w:rPr>
                <w:rFonts w:ascii="Arial" w:hAnsi="Arial"/>
                <w:b/>
                <w:color w:val="FFFFFF"/>
                <w:sz w:val="16"/>
              </w:rPr>
              <w:t>File</w:t>
            </w:r>
          </w:p>
        </w:tc>
      </w:tr>
      <w:tr>
        <w:tc>
          <w:tcPr>
            <w:tcW w:type="dxa" w:w="2613"/>
            <w:vAlign w:val="top"/>
          </w:tcPr>
          <w:p>
            <w:r/>
            <w:r>
              <w:rPr>
                <w:rFonts w:ascii="Arial" w:hAnsi="Arial"/>
                <w:b w:val="0"/>
                <w:sz w:val="16"/>
              </w:rPr>
              <w:t>1</w:t>
            </w:r>
          </w:p>
        </w:tc>
        <w:tc>
          <w:tcPr>
            <w:tcW w:type="dxa" w:w="2613"/>
            <w:vAlign w:val="top"/>
          </w:tcPr>
          <w:p>
            <w:r/>
            <w:r>
              <w:rPr>
                <w:rFonts w:ascii="Arial" w:hAnsi="Arial"/>
                <w:b w:val="0"/>
                <w:sz w:val="16"/>
              </w:rPr>
              <w:t>AGENTS.md</w:t>
            </w:r>
          </w:p>
        </w:tc>
        <w:tc>
          <w:tcPr>
            <w:tcW w:type="dxa" w:w="2613"/>
            <w:vAlign w:val="top"/>
          </w:tcPr>
          <w:p>
            <w:r/>
            <w:r>
              <w:rPr>
                <w:rFonts w:ascii="Arial" w:hAnsi="Arial"/>
                <w:b w:val="0"/>
                <w:sz w:val="16"/>
              </w:rPr>
              <w:t>11</w:t>
            </w:r>
          </w:p>
        </w:tc>
        <w:tc>
          <w:tcPr>
            <w:tcW w:type="dxa" w:w="2613"/>
            <w:vAlign w:val="top"/>
          </w:tcPr>
          <w:p>
            <w:r/>
            <w:r>
              <w:rPr>
                <w:rFonts w:ascii="Arial" w:hAnsi="Arial"/>
                <w:b w:val="0"/>
                <w:sz w:val="16"/>
              </w:rPr>
              <w:t>WCCA Prep Tool README.md</w:t>
            </w:r>
          </w:p>
        </w:tc>
      </w:tr>
      <w:tr>
        <w:tc>
          <w:tcPr>
            <w:tcW w:type="dxa" w:w="2613"/>
            <w:vAlign w:val="top"/>
          </w:tcPr>
          <w:p>
            <w:r/>
            <w:r>
              <w:rPr>
                <w:rFonts w:ascii="Arial" w:hAnsi="Arial"/>
                <w:b w:val="0"/>
                <w:sz w:val="16"/>
              </w:rPr>
              <w:t>2</w:t>
            </w:r>
          </w:p>
        </w:tc>
        <w:tc>
          <w:tcPr>
            <w:tcW w:type="dxa" w:w="2613"/>
            <w:vAlign w:val="top"/>
          </w:tcPr>
          <w:p>
            <w:r/>
            <w:r>
              <w:rPr>
                <w:rFonts w:ascii="Arial" w:hAnsi="Arial"/>
                <w:b w:val="0"/>
                <w:sz w:val="16"/>
              </w:rPr>
              <w:t>SPEC.md</w:t>
            </w:r>
          </w:p>
        </w:tc>
        <w:tc>
          <w:tcPr>
            <w:tcW w:type="dxa" w:w="2613"/>
            <w:vAlign w:val="top"/>
          </w:tcPr>
          <w:p>
            <w:r/>
            <w:r>
              <w:rPr>
                <w:rFonts w:ascii="Arial" w:hAnsi="Arial"/>
                <w:b w:val="0"/>
                <w:sz w:val="16"/>
              </w:rPr>
              <w:t>12</w:t>
            </w:r>
          </w:p>
        </w:tc>
        <w:tc>
          <w:tcPr>
            <w:tcW w:type="dxa" w:w="2613"/>
            <w:vAlign w:val="top"/>
          </w:tcPr>
          <w:p>
            <w:r/>
            <w:r>
              <w:rPr>
                <w:rFonts w:ascii="Arial" w:hAnsi="Arial"/>
                <w:b w:val="0"/>
                <w:sz w:val="16"/>
              </w:rPr>
              <w:t>Codex Case Study README.md</w:t>
            </w:r>
          </w:p>
        </w:tc>
      </w:tr>
      <w:tr>
        <w:tc>
          <w:tcPr>
            <w:tcW w:type="dxa" w:w="2613"/>
            <w:vAlign w:val="top"/>
          </w:tcPr>
          <w:p>
            <w:r/>
            <w:r>
              <w:rPr>
                <w:rFonts w:ascii="Arial" w:hAnsi="Arial"/>
                <w:b w:val="0"/>
                <w:sz w:val="16"/>
              </w:rPr>
              <w:t>3</w:t>
            </w:r>
          </w:p>
        </w:tc>
        <w:tc>
          <w:tcPr>
            <w:tcW w:type="dxa" w:w="2613"/>
            <w:vAlign w:val="top"/>
          </w:tcPr>
          <w:p>
            <w:r/>
            <w:r>
              <w:rPr>
                <w:rFonts w:ascii="Arial" w:hAnsi="Arial"/>
                <w:b w:val="0"/>
                <w:sz w:val="16"/>
              </w:rPr>
              <w:t>TASKS.md</w:t>
            </w:r>
          </w:p>
        </w:tc>
        <w:tc>
          <w:tcPr>
            <w:tcW w:type="dxa" w:w="2613"/>
            <w:vAlign w:val="top"/>
          </w:tcPr>
          <w:p>
            <w:r/>
            <w:r>
              <w:rPr>
                <w:rFonts w:ascii="Arial" w:hAnsi="Arial"/>
                <w:b w:val="0"/>
                <w:sz w:val="16"/>
              </w:rPr>
              <w:t>13</w:t>
            </w:r>
          </w:p>
        </w:tc>
        <w:tc>
          <w:tcPr>
            <w:tcW w:type="dxa" w:w="2613"/>
            <w:vAlign w:val="top"/>
          </w:tcPr>
          <w:p>
            <w:r/>
            <w:r>
              <w:rPr>
                <w:rFonts w:ascii="Arial" w:hAnsi="Arial"/>
                <w:b w:val="0"/>
                <w:sz w:val="16"/>
              </w:rPr>
              <w:t>Design Review Assistant README.md</w:t>
            </w:r>
          </w:p>
        </w:tc>
      </w:tr>
      <w:tr>
        <w:tc>
          <w:tcPr>
            <w:tcW w:type="dxa" w:w="2613"/>
            <w:vAlign w:val="top"/>
          </w:tcPr>
          <w:p>
            <w:r/>
            <w:r>
              <w:rPr>
                <w:rFonts w:ascii="Arial" w:hAnsi="Arial"/>
                <w:b w:val="0"/>
                <w:sz w:val="16"/>
              </w:rPr>
              <w:t>4</w:t>
            </w:r>
          </w:p>
        </w:tc>
        <w:tc>
          <w:tcPr>
            <w:tcW w:type="dxa" w:w="2613"/>
            <w:vAlign w:val="top"/>
          </w:tcPr>
          <w:p>
            <w:r/>
            <w:r>
              <w:rPr>
                <w:rFonts w:ascii="Arial" w:hAnsi="Arial"/>
                <w:b w:val="0"/>
                <w:sz w:val="16"/>
              </w:rPr>
              <w:t>Applied_AI_Engineering_Portfolio_Master.docx</w:t>
            </w:r>
          </w:p>
        </w:tc>
        <w:tc>
          <w:tcPr>
            <w:tcW w:type="dxa" w:w="2613"/>
            <w:vAlign w:val="top"/>
          </w:tcPr>
          <w:p>
            <w:r/>
            <w:r>
              <w:rPr>
                <w:rFonts w:ascii="Arial" w:hAnsi="Arial"/>
                <w:b w:val="0"/>
                <w:sz w:val="16"/>
              </w:rPr>
              <w:t>14</w:t>
            </w:r>
          </w:p>
        </w:tc>
        <w:tc>
          <w:tcPr>
            <w:tcW w:type="dxa" w:w="2613"/>
            <w:vAlign w:val="top"/>
          </w:tcPr>
          <w:p>
            <w:r/>
            <w:r>
              <w:rPr>
                <w:rFonts w:ascii="Arial" w:hAnsi="Arial"/>
                <w:b w:val="0"/>
                <w:sz w:val="16"/>
              </w:rPr>
              <w:t>Lighting Feasibility Simulator README.md</w:t>
            </w:r>
          </w:p>
        </w:tc>
      </w:tr>
      <w:tr>
        <w:tc>
          <w:tcPr>
            <w:tcW w:type="dxa" w:w="2613"/>
            <w:vAlign w:val="top"/>
          </w:tcPr>
          <w:p>
            <w:r/>
            <w:r>
              <w:rPr>
                <w:rFonts w:ascii="Arial" w:hAnsi="Arial"/>
                <w:b w:val="0"/>
                <w:sz w:val="16"/>
              </w:rPr>
              <w:t>5</w:t>
            </w:r>
          </w:p>
        </w:tc>
        <w:tc>
          <w:tcPr>
            <w:tcW w:type="dxa" w:w="2613"/>
            <w:vAlign w:val="top"/>
          </w:tcPr>
          <w:p>
            <w:r/>
            <w:r>
              <w:rPr>
                <w:rFonts w:ascii="Arial" w:hAnsi="Arial"/>
                <w:b w:val="0"/>
                <w:sz w:val="16"/>
              </w:rPr>
              <w:t>Portfolio Evidence Matrix.xlsx</w:t>
            </w:r>
          </w:p>
        </w:tc>
        <w:tc>
          <w:tcPr>
            <w:tcW w:type="dxa" w:w="2613"/>
            <w:vAlign w:val="top"/>
          </w:tcPr>
          <w:p>
            <w:r/>
            <w:r>
              <w:rPr>
                <w:rFonts w:ascii="Arial" w:hAnsi="Arial"/>
                <w:b w:val="0"/>
                <w:sz w:val="16"/>
              </w:rPr>
              <w:t>15</w:t>
            </w:r>
          </w:p>
        </w:tc>
        <w:tc>
          <w:tcPr>
            <w:tcW w:type="dxa" w:w="2613"/>
            <w:vAlign w:val="top"/>
          </w:tcPr>
          <w:p>
            <w:r/>
            <w:r>
              <w:rPr>
                <w:rFonts w:ascii="Arial" w:hAnsi="Arial"/>
                <w:b w:val="0"/>
                <w:sz w:val="16"/>
              </w:rPr>
              <w:t>AI Studio Bridge Demo README.md</w:t>
            </w:r>
          </w:p>
        </w:tc>
      </w:tr>
      <w:tr>
        <w:tc>
          <w:tcPr>
            <w:tcW w:type="dxa" w:w="2613"/>
            <w:vAlign w:val="top"/>
          </w:tcPr>
          <w:p>
            <w:r/>
            <w:r>
              <w:rPr>
                <w:rFonts w:ascii="Arial" w:hAnsi="Arial"/>
                <w:b w:val="0"/>
                <w:sz w:val="16"/>
              </w:rPr>
              <w:t>6</w:t>
            </w:r>
          </w:p>
        </w:tc>
        <w:tc>
          <w:tcPr>
            <w:tcW w:type="dxa" w:w="2613"/>
            <w:vAlign w:val="top"/>
          </w:tcPr>
          <w:p>
            <w:r/>
            <w:r>
              <w:rPr>
                <w:rFonts w:ascii="Arial" w:hAnsi="Arial"/>
                <w:b w:val="0"/>
                <w:sz w:val="16"/>
              </w:rPr>
              <w:t>AI Fundamentals Map.md</w:t>
            </w:r>
          </w:p>
        </w:tc>
        <w:tc>
          <w:tcPr>
            <w:tcW w:type="dxa" w:w="2613"/>
            <w:vAlign w:val="top"/>
          </w:tcPr>
          <w:p>
            <w:r/>
            <w:r>
              <w:rPr>
                <w:rFonts w:ascii="Arial" w:hAnsi="Arial"/>
                <w:b w:val="0"/>
                <w:sz w:val="16"/>
              </w:rPr>
              <w:t>16</w:t>
            </w:r>
          </w:p>
        </w:tc>
        <w:tc>
          <w:tcPr>
            <w:tcW w:type="dxa" w:w="2613"/>
            <w:vAlign w:val="top"/>
          </w:tcPr>
          <w:p>
            <w:r/>
            <w:r>
              <w:rPr>
                <w:rFonts w:ascii="Arial" w:hAnsi="Arial"/>
                <w:b w:val="0"/>
                <w:sz w:val="16"/>
              </w:rPr>
              <w:t>Synthetic Requirements Sample.csv</w:t>
            </w:r>
          </w:p>
        </w:tc>
      </w:tr>
      <w:tr>
        <w:tc>
          <w:tcPr>
            <w:tcW w:type="dxa" w:w="2613"/>
            <w:vAlign w:val="top"/>
          </w:tcPr>
          <w:p>
            <w:r/>
            <w:r>
              <w:rPr>
                <w:rFonts w:ascii="Arial" w:hAnsi="Arial"/>
                <w:b w:val="0"/>
                <w:sz w:val="16"/>
              </w:rPr>
              <w:t>7</w:t>
            </w:r>
          </w:p>
        </w:tc>
        <w:tc>
          <w:tcPr>
            <w:tcW w:type="dxa" w:w="2613"/>
            <w:vAlign w:val="top"/>
          </w:tcPr>
          <w:p>
            <w:r/>
            <w:r>
              <w:rPr>
                <w:rFonts w:ascii="Arial" w:hAnsi="Arial"/>
                <w:b w:val="0"/>
                <w:sz w:val="16"/>
              </w:rPr>
              <w:t>Engineering Skills Map.md</w:t>
            </w:r>
          </w:p>
        </w:tc>
        <w:tc>
          <w:tcPr>
            <w:tcW w:type="dxa" w:w="2613"/>
            <w:vAlign w:val="top"/>
          </w:tcPr>
          <w:p>
            <w:r/>
            <w:r>
              <w:rPr>
                <w:rFonts w:ascii="Arial" w:hAnsi="Arial"/>
                <w:b w:val="0"/>
                <w:sz w:val="16"/>
              </w:rPr>
              <w:t>17</w:t>
            </w:r>
          </w:p>
        </w:tc>
        <w:tc>
          <w:tcPr>
            <w:tcW w:type="dxa" w:w="2613"/>
            <w:vAlign w:val="top"/>
          </w:tcPr>
          <w:p>
            <w:r/>
            <w:r>
              <w:rPr>
                <w:rFonts w:ascii="Arial" w:hAnsi="Arial"/>
                <w:b w:val="0"/>
                <w:sz w:val="16"/>
              </w:rPr>
              <w:t>Synthetic WCCA Sample.csv</w:t>
            </w:r>
          </w:p>
        </w:tc>
      </w:tr>
      <w:tr>
        <w:tc>
          <w:tcPr>
            <w:tcW w:type="dxa" w:w="2613"/>
            <w:vAlign w:val="top"/>
          </w:tcPr>
          <w:p>
            <w:r/>
            <w:r>
              <w:rPr>
                <w:rFonts w:ascii="Arial" w:hAnsi="Arial"/>
                <w:b w:val="0"/>
                <w:sz w:val="16"/>
              </w:rPr>
              <w:t>8</w:t>
            </w:r>
          </w:p>
        </w:tc>
        <w:tc>
          <w:tcPr>
            <w:tcW w:type="dxa" w:w="2613"/>
            <w:vAlign w:val="top"/>
          </w:tcPr>
          <w:p>
            <w:r/>
            <w:r>
              <w:rPr>
                <w:rFonts w:ascii="Arial" w:hAnsi="Arial"/>
                <w:b w:val="0"/>
                <w:sz w:val="16"/>
              </w:rPr>
              <w:t>Sanitization Rules.md</w:t>
            </w:r>
          </w:p>
        </w:tc>
        <w:tc>
          <w:tcPr>
            <w:tcW w:type="dxa" w:w="2613"/>
            <w:vAlign w:val="top"/>
          </w:tcPr>
          <w:p>
            <w:r/>
            <w:r>
              <w:rPr>
                <w:rFonts w:ascii="Arial" w:hAnsi="Arial"/>
                <w:b w:val="0"/>
                <w:sz w:val="16"/>
              </w:rPr>
              <w:t>18</w:t>
            </w:r>
          </w:p>
        </w:tc>
        <w:tc>
          <w:tcPr>
            <w:tcW w:type="dxa" w:w="2613"/>
            <w:vAlign w:val="top"/>
          </w:tcPr>
          <w:p>
            <w:r/>
            <w:r>
              <w:rPr>
                <w:rFonts w:ascii="Arial" w:hAnsi="Arial"/>
                <w:b w:val="0"/>
                <w:sz w:val="16"/>
              </w:rPr>
              <w:t>Screenshot Index.md</w:t>
            </w:r>
          </w:p>
        </w:tc>
      </w:tr>
      <w:tr>
        <w:tc>
          <w:tcPr>
            <w:tcW w:type="dxa" w:w="2613"/>
            <w:vAlign w:val="top"/>
          </w:tcPr>
          <w:p>
            <w:r/>
            <w:r>
              <w:rPr>
                <w:rFonts w:ascii="Arial" w:hAnsi="Arial"/>
                <w:b w:val="0"/>
                <w:sz w:val="16"/>
              </w:rPr>
              <w:t>9</w:t>
            </w:r>
          </w:p>
        </w:tc>
        <w:tc>
          <w:tcPr>
            <w:tcW w:type="dxa" w:w="2613"/>
            <w:vAlign w:val="top"/>
          </w:tcPr>
          <w:p>
            <w:r/>
            <w:r>
              <w:rPr>
                <w:rFonts w:ascii="Arial" w:hAnsi="Arial"/>
                <w:b w:val="0"/>
                <w:sz w:val="16"/>
              </w:rPr>
              <w:t>Human Review Required.md</w:t>
            </w:r>
          </w:p>
        </w:tc>
        <w:tc>
          <w:tcPr>
            <w:tcW w:type="dxa" w:w="2613"/>
            <w:vAlign w:val="top"/>
          </w:tcPr>
          <w:p>
            <w:r/>
            <w:r>
              <w:rPr>
                <w:rFonts w:ascii="Arial" w:hAnsi="Arial"/>
                <w:b w:val="0"/>
                <w:sz w:val="16"/>
              </w:rPr>
              <w:t>19</w:t>
            </w:r>
          </w:p>
        </w:tc>
        <w:tc>
          <w:tcPr>
            <w:tcW w:type="dxa" w:w="2613"/>
            <w:vAlign w:val="top"/>
          </w:tcPr>
          <w:p>
            <w:r/>
            <w:r>
              <w:rPr>
                <w:rFonts w:ascii="Arial" w:hAnsi="Arial"/>
                <w:b w:val="0"/>
                <w:sz w:val="16"/>
              </w:rPr>
              <w:t>Interview Story Bank.md</w:t>
            </w:r>
          </w:p>
        </w:tc>
      </w:tr>
      <w:tr>
        <w:tc>
          <w:tcPr>
            <w:tcW w:type="dxa" w:w="2613"/>
            <w:vAlign w:val="top"/>
          </w:tcPr>
          <w:p>
            <w:r/>
            <w:r>
              <w:rPr>
                <w:rFonts w:ascii="Arial" w:hAnsi="Arial"/>
                <w:b w:val="0"/>
                <w:sz w:val="16"/>
              </w:rPr>
              <w:t>10</w:t>
            </w:r>
          </w:p>
        </w:tc>
        <w:tc>
          <w:tcPr>
            <w:tcW w:type="dxa" w:w="2613"/>
            <w:vAlign w:val="top"/>
          </w:tcPr>
          <w:p>
            <w:r/>
            <w:r>
              <w:rPr>
                <w:rFonts w:ascii="Arial" w:hAnsi="Arial"/>
                <w:b w:val="0"/>
                <w:sz w:val="16"/>
              </w:rPr>
              <w:t>Requirements-to-Verification README.md</w:t>
            </w:r>
          </w:p>
        </w:tc>
        <w:tc>
          <w:tcPr>
            <w:tcW w:type="dxa" w:w="2613"/>
            <w:vAlign w:val="top"/>
          </w:tcPr>
          <w:p>
            <w:r/>
            <w:r>
              <w:rPr>
                <w:rFonts w:ascii="Arial" w:hAnsi="Arial"/>
                <w:b w:val="0"/>
                <w:sz w:val="16"/>
              </w:rPr>
              <w:t>20</w:t>
            </w:r>
          </w:p>
        </w:tc>
        <w:tc>
          <w:tcPr>
            <w:tcW w:type="dxa" w:w="2613"/>
            <w:vAlign w:val="top"/>
          </w:tcPr>
          <w:p>
            <w:r/>
            <w:r>
              <w:rPr>
                <w:rFonts w:ascii="Arial" w:hAnsi="Arial"/>
                <w:b w:val="0"/>
                <w:sz w:val="16"/>
              </w:rPr>
              <w:t>Resume LinkedIn Claims.md</w:t>
            </w:r>
          </w:p>
        </w:tc>
      </w:tr>
    </w:tbl>
    <w:sectPr w:rsidR="00FC693F" w:rsidRPr="0006063C" w:rsidSect="00034616">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Applied AI Engineering Portfolio Master</dc:title>
  <dc:subject>Sanitized AI engineering portfolio source pack</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