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Hop Dublin Same Day Delivery Cluster Strategy</w:t>
      </w:r>
    </w:p>
    <w:p>
      <w:r>
        <w:t>Working strategy  |  29 September 2026</w:t>
      </w:r>
    </w:p>
    <w:p>
      <w:r>
        <w:t>Hop can launch with two ready merchants on Drury Street, but those accounts alone are unlikely to establish route economics or reveal the size of demand. The first decision is to build a compact collection cluster around them, measure actual parcel flow and collection time, and expand only when the cluster supports a reliable delivery promise and positive contribution per order. This document sets out a testable plan; its numeric gates are proposals to calibrate against Hop’s own costs and order data.</w:t>
      </w:r>
    </w:p>
    <w:p>
      <w:pPr>
        <w:pStyle w:val="Heading1"/>
      </w:pPr>
      <w:r>
        <w:t>Strategic position</w:t>
      </w:r>
    </w:p>
    <w:p>
      <w:r>
        <w:t>Hop gives Dublin retailers a same day option for goods already available in a participating store. Merchants pick and pack; Hop collects in a coordinated window and delivers across Dublin using the existing fleet of about 25 motorcycles and 20 large cargo bikes. The immediate commercial unit is a cluster of nearby stores sharing a collection run, rather than an individual retailer.</w:t>
      </w:r>
    </w:p>
    <w:p>
      <w:r>
        <w:t>The first cluster should encompass the Drury Street area and adjacent walkable retail streets, subject to an actual rider timed route. The two committed merchants are launch anchors and operational learning partners. Their low initial volume is acceptable if collection can be folded into the existing network at low incremental cost.</w:t>
      </w:r>
    </w:p>
    <w:p>
      <w:pPr>
        <w:pStyle w:val="Heading1"/>
      </w:pPr>
      <w:r>
        <w:t>What must be true</w:t>
      </w:r>
    </w:p>
    <w:tbl>
      <w:tblPr>
        <w:tblW w:type="auto" w:w="0"/>
        <w:jc w:val="center"/>
        <w:tblLook w:firstColumn="1" w:firstRow="1" w:lastColumn="0" w:lastRow="0" w:noHBand="0" w:noVBand="1" w:val="04A0"/>
      </w:tblPr>
      <w:tblGrid>
        <w:gridCol w:w="4896"/>
        <w:gridCol w:w="4896"/>
      </w:tblGrid>
      <w:tr>
        <w:tc>
          <w:tcPr>
            <w:tcW w:type="dxa" w:w="4896"/>
            <w:vAlign w:val="center"/>
            <w:shd w:fill="17324D"/>
            <w:tcBorders>
              <w:top w:val="single" w:color="D9D9D9"/>
              <w:left w:val="single" w:color="D9D9D9"/>
              <w:bottom w:val="single" w:color="D9D9D9"/>
              <w:right w:val="single" w:color="D9D9D9"/>
            </w:tcBorders>
          </w:tcPr>
          <w:p>
            <w:pPr>
              <w:spacing w:after="0"/>
            </w:pPr>
            <w:r>
              <w:rPr>
                <w:color w:val="FFFFFF"/>
                <w:sz w:val="18"/>
              </w:rPr>
              <w:t>Requirement</w:t>
            </w:r>
          </w:p>
        </w:tc>
        <w:tc>
          <w:tcPr>
            <w:tcW w:type="dxa" w:w="4896"/>
            <w:vAlign w:val="center"/>
            <w:shd w:fill="17324D"/>
            <w:tcBorders>
              <w:top w:val="single" w:color="D9D9D9"/>
              <w:left w:val="single" w:color="D9D9D9"/>
              <w:bottom w:val="single" w:color="D9D9D9"/>
              <w:right w:val="single" w:color="D9D9D9"/>
            </w:tcBorders>
          </w:tcPr>
          <w:p>
            <w:pPr>
              <w:spacing w:after="0"/>
            </w:pPr>
            <w:r>
              <w:rPr>
                <w:color w:val="FFFFFF"/>
                <w:sz w:val="18"/>
              </w:rPr>
              <w:t>Practical test</w:t>
            </w:r>
          </w:p>
        </w:tc>
      </w:tr>
      <w:tr>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Sellable stock is at the store</w:t>
            </w:r>
          </w:p>
        </w:tc>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Merchant confirms local availability and accepts the order before a same day promise is shown.</w:t>
            </w:r>
          </w:p>
        </w:tc>
      </w:tr>
      <w:tr>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Fast handoff</w:t>
            </w:r>
          </w:p>
        </w:tc>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Packed orders are ready at a named pickup point before the rider arrives.</w:t>
            </w:r>
          </w:p>
        </w:tc>
      </w:tr>
      <w:tr>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Useful volume is concentrated</w:t>
            </w:r>
          </w:p>
        </w:tc>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Several merchants create parcels in one collection window within a short rider route.</w:t>
            </w:r>
          </w:p>
        </w:tc>
      </w:tr>
      <w:tr>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Delivery promise is credible</w:t>
            </w:r>
          </w:p>
        </w:tc>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Cutoff, collection and delivery windows leave room for picking and routing.</w:t>
            </w:r>
          </w:p>
        </w:tc>
      </w:tr>
      <w:tr>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Each parcel covers incremental cost</w:t>
            </w:r>
          </w:p>
        </w:tc>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Net delivery revenue and any merchant fee exceed picking support, collection and delivery costs.</w:t>
            </w:r>
          </w:p>
        </w:tc>
      </w:tr>
    </w:tbl>
    <w:p>
      <w:pPr>
        <w:spacing w:after="0"/>
      </w:pPr>
    </w:p>
    <w:p>
      <w:pPr>
        <w:pStyle w:val="Heading1"/>
      </w:pPr>
      <w:r>
        <w:t>Drury Street pilot</w:t>
      </w:r>
    </w:p>
    <w:p>
      <w:r>
        <w:t>Launch the two ready merchants on the current collection pattern and recruit outward from them. Treat Drury Street, Castle Market, South William Street, Fade Street and nearby streets as a candidate catchment, with the final boundary set by measured collection minutes. Target retailers with store stock, checkout demand, compact parcels and a reason customers value receipt today: beauty, gifts, electronics accessories, specialist fashion, footwear, toys and small home or hobby goods.</w:t>
      </w:r>
    </w:p>
    <w:p>
      <w:pPr>
        <w:pStyle w:val="ListBullet"/>
      </w:pPr>
      <w:r>
        <w:t>Week 0 to 2: agree eligibility, parcel limits, order cutoff, readiness confirmation, collection point, customer tracking and exceptions with the two anchors. Record their baseline online orders and delivery mix.</w:t>
      </w:r>
    </w:p>
    <w:p>
      <w:pPr>
        <w:pStyle w:val="ListBullet"/>
      </w:pPr>
      <w:r>
        <w:t>Week 2 to 6: approach nearby merchants systematically. Prioritise stores that share a collection path and can expose same day only for items actually available locally.</w:t>
      </w:r>
    </w:p>
    <w:p>
      <w:pPr>
        <w:pStyle w:val="ListBullet"/>
      </w:pPr>
      <w:r>
        <w:t>Week 6 to 10: run a controlled commercial pilot. Keep the customer offer and cutoff consistent, review daily operational failures, and compare eligible checkout behaviour with an appropriate baseline.</w:t>
      </w:r>
    </w:p>
    <w:p>
      <w:pPr>
        <w:pStyle w:val="ListBullet"/>
      </w:pPr>
      <w:r>
        <w:t>At the review: retain, adjust or pause the cluster using observed economics and service quality. Do not infer market demand from two merchants or a few days of orders.</w:t>
      </w:r>
    </w:p>
    <w:p>
      <w:r>
        <w:br w:type="page"/>
      </w:r>
    </w:p>
    <w:p>
      <w:pPr>
        <w:pStyle w:val="Heading1"/>
      </w:pPr>
      <w:r>
        <w:t>Merchant proposition and operating rules</w:t>
      </w:r>
    </w:p>
    <w:p>
      <w:r>
        <w:t>The merchant message is simple: sell stock already on your Dublin shelf and give customers a delivery option for today. The merchant remains responsible for stock accuracy, order acceptance, picking, packing and returns policy; Hop owns collection, routing, tracking and proof of delivery. Confirm the actual commercial and legal allocation in partner agreements.</w:t>
      </w:r>
    </w:p>
    <w:p>
      <w:pPr>
        <w:pStyle w:val="ListBullet"/>
      </w:pPr>
      <w:r>
        <w:t>Show same day only for eligible Dublin addresses, parcel dimensions, store inventory and orders placed before the tested cutoff.</w:t>
      </w:r>
    </w:p>
    <w:p>
      <w:pPr>
        <w:pStyle w:val="ListBullet"/>
      </w:pPr>
      <w:r>
        <w:t>Require a ready signal before collection; record time from order to ready and rider wait time separately.</w:t>
      </w:r>
    </w:p>
    <w:p>
      <w:pPr>
        <w:pStyle w:val="ListBullet"/>
      </w:pPr>
      <w:r>
        <w:t>Use one designated pickup point per merchant and a scan or equivalent handoff record.</w:t>
      </w:r>
    </w:p>
    <w:p>
      <w:pPr>
        <w:pStyle w:val="ListBullet"/>
      </w:pPr>
      <w:r>
        <w:t>Define cancellation, missing stock, failed delivery, customer absence and returns procedures before launch.</w:t>
      </w:r>
    </w:p>
    <w:p>
      <w:pPr>
        <w:pStyle w:val="ListBullet"/>
      </w:pPr>
      <w:r>
        <w:t>Start with the existing scheduled collection model. Add shorter promises only when order density and service data support them.</w:t>
      </w:r>
    </w:p>
    <w:p>
      <w:pPr>
        <w:pStyle w:val="Heading1"/>
      </w:pPr>
      <w:r>
        <w:t>Pilot economics and decision gates</w:t>
      </w:r>
    </w:p>
    <w:p>
      <w:r>
        <w:t>The earlier two hour and 10 to 15 merchant ideas are hypotheses, not validated operating thresholds. Build the real threshold from an incremental contribution model, with existing fleet capacity charged at its opportunity cost.</w:t>
      </w:r>
    </w:p>
    <w:p>
      <w:r>
        <w:t>Contribution per parcel = net delivery revenue plus merchant fees minus variable delivery labour, vehicle costs, payment fees, customer support, claims and the parcel share of cluster collection time. Track total cluster contribution per collection window as well as per parcel; an attractive average can mask an unprofitable marginal pickup.</w:t>
      </w:r>
    </w:p>
    <w:tbl>
      <w:tblPr>
        <w:tblW w:type="auto" w:w="0"/>
        <w:jc w:val="center"/>
        <w:tblLook w:firstColumn="1" w:firstRow="1" w:lastColumn="0" w:lastRow="0" w:noHBand="0" w:noVBand="1" w:val="04A0"/>
      </w:tblPr>
      <w:tblGrid>
        <w:gridCol w:w="4896"/>
        <w:gridCol w:w="4896"/>
      </w:tblGrid>
      <w:tr>
        <w:tc>
          <w:tcPr>
            <w:tcW w:type="dxa" w:w="4896"/>
            <w:vAlign w:val="center"/>
            <w:shd w:fill="17324D"/>
            <w:tcBorders>
              <w:top w:val="single" w:color="D9D9D9"/>
              <w:left w:val="single" w:color="D9D9D9"/>
              <w:bottom w:val="single" w:color="D9D9D9"/>
              <w:right w:val="single" w:color="D9D9D9"/>
            </w:tcBorders>
          </w:tcPr>
          <w:p>
            <w:pPr>
              <w:spacing w:after="0"/>
            </w:pPr>
            <w:r>
              <w:rPr>
                <w:color w:val="FFFFFF"/>
                <w:sz w:val="18"/>
              </w:rPr>
              <w:t>Metric</w:t>
            </w:r>
          </w:p>
        </w:tc>
        <w:tc>
          <w:tcPr>
            <w:tcW w:type="dxa" w:w="4896"/>
            <w:vAlign w:val="center"/>
            <w:shd w:fill="17324D"/>
            <w:tcBorders>
              <w:top w:val="single" w:color="D9D9D9"/>
              <w:left w:val="single" w:color="D9D9D9"/>
              <w:bottom w:val="single" w:color="D9D9D9"/>
              <w:right w:val="single" w:color="D9D9D9"/>
            </w:tcBorders>
          </w:tcPr>
          <w:p>
            <w:pPr>
              <w:spacing w:after="0"/>
            </w:pPr>
            <w:r>
              <w:rPr>
                <w:color w:val="FFFFFF"/>
                <w:sz w:val="18"/>
              </w:rPr>
              <w:t>Pilot use</w:t>
            </w:r>
          </w:p>
        </w:tc>
      </w:tr>
      <w:tr>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Parcels per cluster collection window</w:t>
            </w:r>
          </w:p>
        </w:tc>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Primary density measure; report by day and merchant.</w:t>
            </w:r>
          </w:p>
        </w:tc>
      </w:tr>
      <w:tr>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Collection minutes and rider wait</w:t>
            </w:r>
          </w:p>
        </w:tc>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Calculate minutes per collected parcel and identify handoff friction.</w:t>
            </w:r>
          </w:p>
        </w:tc>
      </w:tr>
      <w:tr>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On time delivery and failed delivery</w:t>
            </w:r>
          </w:p>
        </w:tc>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Protect the promise; segment by cause and destination.</w:t>
            </w:r>
          </w:p>
        </w:tc>
      </w:tr>
      <w:tr>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Eligible checkouts and same day take rate</w:t>
            </w:r>
          </w:p>
        </w:tc>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Separate exposure, selection and completed orders.</w:t>
            </w:r>
          </w:p>
        </w:tc>
      </w:tr>
      <w:tr>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Incremental conversion and basket value</w:t>
            </w:r>
          </w:p>
        </w:tc>
        <w:tc>
          <w:tcPr>
            <w:tcW w:type="dxa" w:w="4896"/>
            <w:vAlign w:val="center"/>
            <w:shd w:fill="FFFFFF"/>
            <w:tcBorders>
              <w:top w:val="single" w:color="D9D9D9"/>
              <w:left w:val="single" w:color="D9D9D9"/>
              <w:bottom w:val="single" w:color="D9D9D9"/>
              <w:right w:val="single" w:color="D9D9D9"/>
            </w:tcBorders>
          </w:tcPr>
          <w:p>
            <w:pPr>
              <w:spacing w:after="0"/>
            </w:pPr>
            <w:r>
              <w:rPr>
                <w:color w:val="000000"/>
                <w:sz w:val="18"/>
              </w:rPr>
              <w:t>Compare similar eligible customers or test cohorts; avoid attributing all sales to delivery.</w:t>
            </w:r>
          </w:p>
        </w:tc>
      </w:tr>
      <w:tr>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Contribution per parcel and per window</w:t>
            </w:r>
          </w:p>
        </w:tc>
        <w:tc>
          <w:tcPr>
            <w:tcW w:type="dxa" w:w="4896"/>
            <w:vAlign w:val="center"/>
            <w:shd w:fill="F3F6F8"/>
            <w:tcBorders>
              <w:top w:val="single" w:color="D9D9D9"/>
              <w:left w:val="single" w:color="D9D9D9"/>
              <w:bottom w:val="single" w:color="D9D9D9"/>
              <w:right w:val="single" w:color="D9D9D9"/>
            </w:tcBorders>
          </w:tcPr>
          <w:p>
            <w:pPr>
              <w:spacing w:after="0"/>
            </w:pPr>
            <w:r>
              <w:rPr>
                <w:color w:val="000000"/>
                <w:sz w:val="18"/>
              </w:rPr>
              <w:t>Use actual costs to set scale, price or pause decisions.</w:t>
            </w:r>
          </w:p>
        </w:tc>
      </w:tr>
    </w:tbl>
    <w:p>
      <w:pPr>
        <w:spacing w:after="0"/>
      </w:pPr>
    </w:p>
    <w:p>
      <w:r>
        <w:t>Before the pilot, set minimum service and contribution gates using Hop’s current cost base. Review them weekly. Add merchants when a nearby store is expected to increase cluster contribution; do not require every individual store to generate a large standalone volume.</w:t>
      </w:r>
    </w:p>
    <w:p>
      <w:pPr>
        <w:pStyle w:val="Heading1"/>
      </w:pPr>
      <w:r>
        <w:t>Expansion logic</w:t>
      </w:r>
    </w:p>
    <w:p>
      <w:r>
        <w:t>Once Drury is stable, extend into adjacent city centre retail concentrations where collections can share the same route or delivery wave. Open separate suburban clusters only after mapping merchant stock locations, expected parcels, delivery destinations and travel times. Motorcycle and cargo bike allocation should follow observed geography and parcel size rather than a fixed category rule.</w:t>
      </w:r>
    </w:p>
    <w:p>
      <w:r>
        <w:t>The key risk is sparse orders spread across many handoffs. The response is a narrow catchment, clear merchant readiness standards and disciplined measurement. Stock mismatches, missed cutoff promises, returns and unreliable checkout presentation are separate risks to fix before broad rollout.</w:t>
      </w:r>
    </w:p>
    <w:p>
      <w:pPr>
        <w:pStyle w:val="Heading1"/>
      </w:pPr>
      <w:r>
        <w:t>Immediate decisions and missing inputs</w:t>
      </w:r>
    </w:p>
    <w:p>
      <w:pPr>
        <w:pStyle w:val="ListBullet"/>
      </w:pPr>
      <w:r>
        <w:t>Confirm the two Drury merchants, their categories, online order volumes, store hours and likely same day eligible share.</w:t>
      </w:r>
    </w:p>
    <w:p>
      <w:pPr>
        <w:pStyle w:val="ListBullet"/>
      </w:pPr>
      <w:r>
        <w:t>Supply Hop’s actual price and variable cost by vehicle, rider hour, stop and parcel, plus current spare afternoon capacity.</w:t>
      </w:r>
    </w:p>
    <w:p>
      <w:pPr>
        <w:pStyle w:val="ListBullet"/>
      </w:pPr>
      <w:r>
        <w:t>Choose the pilot delivery zone and cutoff from a timed route, then confirm the checkout integration and merchant onboarding process.</w:t>
      </w:r>
    </w:p>
    <w:p>
      <w:pPr>
        <w:pStyle w:val="ListBullet"/>
      </w:pPr>
      <w:r>
        <w:t>Approve the pilot scorecard and the contribution and service gates before recruiting a wider cluster.</w:t>
      </w:r>
    </w:p>
    <w:p>
      <w:r>
        <w:t>Evidence note: this strategy draws on the business facts and hypotheses discussed with Hop. Illustrative merchant counts, delivery rates and category rankings from earlier discussion are deliberately not presented as forecasts. A retailer level test is needed to estimate conversion lift and willingness to pay for this specific offer.</w:t>
      </w:r>
    </w:p>
    <w:sectPr w:rsidR="00FC693F" w:rsidRPr="0006063C" w:rsidSect="00034616">
      <w:footerReference w:type="default" r:id="rId9"/>
      <w:pgSz w:w="12240" w:h="15840"/>
      <w:pgMar w:top="936" w:right="1224" w:bottom="79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Hop  |  Working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