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4044A4B9" w:rsidR="00376FC0" w:rsidRDefault="00C27676" w:rsidP="00C27676">
      <w:pPr>
        <w:pStyle w:val="Heading1"/>
      </w:pPr>
      <w:r>
        <w:t>CASA0007 Research Proposal</w:t>
      </w:r>
    </w:p>
    <w:p w14:paraId="247027F2" w14:textId="6BF17A9D" w:rsidR="00C27676" w:rsidRDefault="00C27676" w:rsidP="00C27676"/>
    <w:p w14:paraId="29F9BBDE" w14:textId="4ED34341" w:rsidR="00C27676" w:rsidRDefault="00C27676" w:rsidP="00C27676">
      <w:r>
        <w:t>Student Number: 22186878</w:t>
      </w:r>
    </w:p>
    <w:p w14:paraId="19C8005D" w14:textId="37B22BA8" w:rsidR="00C27676" w:rsidRDefault="00C27676" w:rsidP="00C27676">
      <w:r>
        <w:t>Date submitted: 2022-12-0</w:t>
      </w:r>
      <w:r w:rsidR="00E5621E">
        <w:t>5</w:t>
      </w:r>
    </w:p>
    <w:p w14:paraId="4941A246" w14:textId="77777777" w:rsidR="000B2E87" w:rsidRDefault="000B2E87" w:rsidP="00C27676"/>
    <w:p w14:paraId="2FCC6DF5" w14:textId="7BB5781A" w:rsidR="00C27676" w:rsidRDefault="00C27676" w:rsidP="00C27676">
      <w:pPr>
        <w:pStyle w:val="ListParagraph"/>
        <w:numPr>
          <w:ilvl w:val="0"/>
          <w:numId w:val="1"/>
        </w:numPr>
      </w:pPr>
      <w:r>
        <w:t>Proposed research question</w:t>
      </w:r>
    </w:p>
    <w:p w14:paraId="64184BF6" w14:textId="4635AFB8" w:rsidR="001750F5" w:rsidRDefault="007F790C" w:rsidP="00630AE6">
      <w:r>
        <w:t xml:space="preserve">How </w:t>
      </w:r>
      <w:r w:rsidR="002049FD">
        <w:t>are</w:t>
      </w:r>
      <w:r>
        <w:t xml:space="preserve"> level</w:t>
      </w:r>
      <w:r w:rsidR="002049FD">
        <w:t>s</w:t>
      </w:r>
      <w:r>
        <w:t xml:space="preserve"> of unmet </w:t>
      </w:r>
      <w:r w:rsidR="002049FD">
        <w:t xml:space="preserve">HIV </w:t>
      </w:r>
      <w:r w:rsidR="00014845">
        <w:t>pre-exposure prophylaxis (</w:t>
      </w:r>
      <w:r>
        <w:t>PrEP</w:t>
      </w:r>
      <w:r w:rsidR="00014845">
        <w:t>)</w:t>
      </w:r>
      <w:r>
        <w:t xml:space="preserve"> need associated with </w:t>
      </w:r>
      <w:r w:rsidR="00B22899">
        <w:t>regional</w:t>
      </w:r>
      <w:r w:rsidR="00EA53B2">
        <w:t xml:space="preserve"> characteristics</w:t>
      </w:r>
      <w:r>
        <w:t xml:space="preserve"> in </w:t>
      </w:r>
      <w:r w:rsidR="00866C21">
        <w:t>England</w:t>
      </w:r>
      <w:r>
        <w:t xml:space="preserve">? </w:t>
      </w:r>
    </w:p>
    <w:p w14:paraId="1407FC66" w14:textId="07801443" w:rsidR="00C27676" w:rsidRDefault="00C27676" w:rsidP="00C27676">
      <w:pPr>
        <w:pStyle w:val="ListParagraph"/>
        <w:numPr>
          <w:ilvl w:val="0"/>
          <w:numId w:val="1"/>
        </w:numPr>
      </w:pPr>
      <w:r>
        <w:t>Bibliography (single source inspiration paper)</w:t>
      </w:r>
    </w:p>
    <w:p w14:paraId="57960197" w14:textId="686D27DB" w:rsidR="00F15C1D" w:rsidRDefault="00B22899" w:rsidP="00866C21">
      <w:pPr>
        <w:ind w:left="720" w:hanging="720"/>
        <w:jc w:val="left"/>
      </w:pPr>
      <w:r>
        <w:t xml:space="preserve">Hammoud, M.A., </w:t>
      </w:r>
      <w:r w:rsidR="00866C21">
        <w:t>et. al</w:t>
      </w:r>
      <w:r>
        <w:t xml:space="preserve">., 2019. HIV Pre-exposure Prophylaxis (PrEP) Uptake Among Gay and Bisexual Men in Australia and Factors Associated </w:t>
      </w:r>
      <w:proofErr w:type="gramStart"/>
      <w:r>
        <w:t>With</w:t>
      </w:r>
      <w:proofErr w:type="gramEnd"/>
      <w:r>
        <w:t xml:space="preserve"> the </w:t>
      </w:r>
      <w:proofErr w:type="spellStart"/>
      <w:r>
        <w:t>Nonuse</w:t>
      </w:r>
      <w:proofErr w:type="spellEnd"/>
      <w:r>
        <w:t xml:space="preserve"> of PrEP Among Eligible Men: Results From a Prospective Cohort Study. JAIDS Journal of Acquired Immune Deficiency Syndromes 81, e73. </w:t>
      </w:r>
      <w:hyperlink r:id="rId6" w:history="1">
        <w:r w:rsidR="00866C21" w:rsidRPr="003E5C3E">
          <w:rPr>
            <w:rStyle w:val="Hyperlink"/>
          </w:rPr>
          <w:t>https://doi.org/10.1097/QAI.0000000000002047</w:t>
        </w:r>
      </w:hyperlink>
    </w:p>
    <w:p w14:paraId="4B6CB306" w14:textId="7E0E8006" w:rsidR="002049FD" w:rsidRDefault="00C27676" w:rsidP="002049FD">
      <w:pPr>
        <w:pStyle w:val="ListParagraph"/>
        <w:numPr>
          <w:ilvl w:val="0"/>
          <w:numId w:val="1"/>
        </w:numPr>
      </w:pPr>
      <w:r>
        <w:t>Description of source</w:t>
      </w:r>
    </w:p>
    <w:p w14:paraId="0D5250E2" w14:textId="3036508E" w:rsidR="00B22899" w:rsidRDefault="00014845" w:rsidP="00B22899">
      <w:r>
        <w:t xml:space="preserve">The source paper is an observational study of HIV PrEP uptake and retention patterns among Gay and Bisexual Men (GBM) in Australia, </w:t>
      </w:r>
      <w:r w:rsidR="00866C21">
        <w:t>during the period of inclusion</w:t>
      </w:r>
      <w:r>
        <w:t xml:space="preserve"> of the medication on the public-subsidised pharmaceuticals scheme. The study identifies age, residential region</w:t>
      </w:r>
      <w:r w:rsidR="00866C21">
        <w:t xml:space="preserve"> (state)</w:t>
      </w:r>
      <w:r>
        <w:t xml:space="preserve">, and social engagement with other GBM as key factors associated with the uptake of PrEP, among others. </w:t>
      </w:r>
    </w:p>
    <w:p w14:paraId="1D79EB0F" w14:textId="44644529" w:rsidR="00C27676" w:rsidRDefault="00C27676" w:rsidP="00C27676">
      <w:pPr>
        <w:pStyle w:val="ListParagraph"/>
        <w:numPr>
          <w:ilvl w:val="0"/>
          <w:numId w:val="1"/>
        </w:numPr>
      </w:pPr>
      <w:r>
        <w:t>Explanation of value of research question (with reference to paper)</w:t>
      </w:r>
    </w:p>
    <w:p w14:paraId="55BE0BFC" w14:textId="2E4D04B0" w:rsidR="00014845" w:rsidRDefault="00866C21" w:rsidP="00AD5AAD">
      <w:r>
        <w:t xml:space="preserve">PrEP was made available as a publicly subsidised medication in England through the NHS in 2020. Given that regional variation in access was identified as an independent factor in PrEP uptake in Australia, and both countries have only recently </w:t>
      </w:r>
      <w:r w:rsidR="00AD5AAD">
        <w:t xml:space="preserve">made the subsidised medication available nationwide, </w:t>
      </w:r>
      <w:r>
        <w:t>there is reason to believe that a similar pattern may be evident in the UK</w:t>
      </w:r>
      <w:r w:rsidR="00AD5AAD">
        <w:t>. This has implications for health equity and identifying areas of greatest need for PrEP access and education.</w:t>
      </w:r>
    </w:p>
    <w:p w14:paraId="3333D536" w14:textId="7453A9B2" w:rsidR="00C27676" w:rsidRDefault="00C27676" w:rsidP="00C27676">
      <w:pPr>
        <w:pStyle w:val="ListParagraph"/>
        <w:numPr>
          <w:ilvl w:val="0"/>
          <w:numId w:val="1"/>
        </w:numPr>
      </w:pPr>
      <w:r>
        <w:t>Summary of methods that may be applied</w:t>
      </w:r>
    </w:p>
    <w:p w14:paraId="2F99AA2A" w14:textId="4FEF000A" w:rsidR="00AD5AAD" w:rsidRDefault="00AD5AAD" w:rsidP="00AD5AAD">
      <w:pPr>
        <w:pStyle w:val="ListParagraph"/>
        <w:numPr>
          <w:ilvl w:val="0"/>
          <w:numId w:val="9"/>
        </w:numPr>
      </w:pPr>
      <w:r>
        <w:t>Descriptive statistics and correlation between variables</w:t>
      </w:r>
    </w:p>
    <w:p w14:paraId="1EE14EFC" w14:textId="17028F5C" w:rsidR="00AD5AAD" w:rsidRDefault="00AD5AAD" w:rsidP="00AD5AAD">
      <w:pPr>
        <w:pStyle w:val="ListParagraph"/>
        <w:numPr>
          <w:ilvl w:val="0"/>
          <w:numId w:val="9"/>
        </w:numPr>
      </w:pPr>
      <w:r>
        <w:t>Regression modelling to identify which variables</w:t>
      </w:r>
      <w:r w:rsidR="000F5982">
        <w:t xml:space="preserve"> (</w:t>
      </w:r>
      <w:proofErr w:type="gramStart"/>
      <w:r w:rsidR="000F5982">
        <w:t>e.g.</w:t>
      </w:r>
      <w:proofErr w:type="gramEnd"/>
      <w:r w:rsidR="000F5982">
        <w:t xml:space="preserve"> regional demographics, service funding, social characteristics)</w:t>
      </w:r>
      <w:r>
        <w:t xml:space="preserve"> are potential determinants of PrEP uptake</w:t>
      </w:r>
    </w:p>
    <w:p w14:paraId="5842816E" w14:textId="568D6075" w:rsidR="000F5982" w:rsidRDefault="000F5982" w:rsidP="00AD5AAD">
      <w:pPr>
        <w:pStyle w:val="ListParagraph"/>
        <w:numPr>
          <w:ilvl w:val="0"/>
          <w:numId w:val="9"/>
        </w:numPr>
      </w:pPr>
      <w:r>
        <w:t xml:space="preserve">Possibly a system dynamics model </w:t>
      </w:r>
      <w:r w:rsidR="0064375C">
        <w:t>of PrEP uptake over time (using annual data – could base off SIR type model)</w:t>
      </w:r>
    </w:p>
    <w:p w14:paraId="5158EA56" w14:textId="72F1E71A" w:rsidR="00C27676" w:rsidRDefault="00C27676" w:rsidP="00C27676"/>
    <w:p w14:paraId="453BD212" w14:textId="544BE472" w:rsidR="00B52465" w:rsidRDefault="00B52465" w:rsidP="00B52465">
      <w:pPr>
        <w:pStyle w:val="Heading2"/>
      </w:pPr>
      <w:r>
        <w:t>Planning Material</w:t>
      </w:r>
    </w:p>
    <w:p w14:paraId="4C2DB6DE" w14:textId="10CD48B4" w:rsidR="00B52465" w:rsidRDefault="00B52465" w:rsidP="00B52465"/>
    <w:p w14:paraId="75BD9A05" w14:textId="30DBD67C" w:rsidR="00B52465" w:rsidRDefault="00B52465" w:rsidP="00B52465">
      <w:r>
        <w:t>A good research question…</w:t>
      </w:r>
    </w:p>
    <w:p w14:paraId="7CC02132" w14:textId="203D91E9" w:rsidR="00B52465" w:rsidRDefault="00B52465" w:rsidP="00B52465">
      <w:pPr>
        <w:pStyle w:val="ListParagraph"/>
        <w:numPr>
          <w:ilvl w:val="0"/>
          <w:numId w:val="3"/>
        </w:numPr>
      </w:pPr>
      <w:r>
        <w:t>Cannot be answered with a single calculation</w:t>
      </w:r>
    </w:p>
    <w:p w14:paraId="7513505D" w14:textId="0DC3A4BD" w:rsidR="00B52465" w:rsidRDefault="00B52465" w:rsidP="00B52465">
      <w:pPr>
        <w:pStyle w:val="ListParagraph"/>
        <w:numPr>
          <w:ilvl w:val="0"/>
          <w:numId w:val="3"/>
        </w:numPr>
      </w:pPr>
      <w:r>
        <w:t>Is not vague (can be quite detailed, and split into subsections if required)</w:t>
      </w:r>
    </w:p>
    <w:p w14:paraId="2DB29C81" w14:textId="67474670" w:rsidR="00B52465" w:rsidRDefault="00B52465" w:rsidP="00B52465">
      <w:pPr>
        <w:pStyle w:val="ListParagraph"/>
        <w:numPr>
          <w:ilvl w:val="0"/>
          <w:numId w:val="3"/>
        </w:numPr>
      </w:pPr>
      <w:r>
        <w:t>Asks about the real world (not just data or methods)</w:t>
      </w:r>
    </w:p>
    <w:p w14:paraId="346633E5" w14:textId="506C8404" w:rsidR="00B52465" w:rsidRDefault="00B52465" w:rsidP="00B52465">
      <w:pPr>
        <w:pStyle w:val="ListParagraph"/>
        <w:numPr>
          <w:ilvl w:val="0"/>
          <w:numId w:val="3"/>
        </w:numPr>
      </w:pPr>
      <w:r>
        <w:lastRenderedPageBreak/>
        <w:t>Is interesting, valuable, and ambitious</w:t>
      </w:r>
    </w:p>
    <w:p w14:paraId="6E117C7F" w14:textId="7D88EC35" w:rsidR="00A42B3C" w:rsidRDefault="00A42B3C" w:rsidP="00A42B3C">
      <w:r>
        <w:t>Workflow for hypothesis testing:</w:t>
      </w:r>
    </w:p>
    <w:p w14:paraId="08DAACDC" w14:textId="426C33A9" w:rsidR="00A42B3C" w:rsidRDefault="00A42B3C" w:rsidP="00A42B3C">
      <w:pPr>
        <w:pStyle w:val="ListParagraph"/>
        <w:numPr>
          <w:ilvl w:val="0"/>
          <w:numId w:val="7"/>
        </w:numPr>
      </w:pPr>
      <w:r>
        <w:t>State the null and alternative hypotheses</w:t>
      </w:r>
    </w:p>
    <w:p w14:paraId="4C06A672" w14:textId="74DCA13C" w:rsidR="00A42B3C" w:rsidRDefault="00A42B3C" w:rsidP="00A42B3C">
      <w:pPr>
        <w:pStyle w:val="ListParagraph"/>
        <w:numPr>
          <w:ilvl w:val="0"/>
          <w:numId w:val="7"/>
        </w:numPr>
      </w:pPr>
      <w:r>
        <w:t>State variables and data type</w:t>
      </w:r>
    </w:p>
    <w:p w14:paraId="4F227202" w14:textId="043FF20C" w:rsidR="00A42B3C" w:rsidRDefault="00A42B3C" w:rsidP="00A42B3C">
      <w:pPr>
        <w:pStyle w:val="ListParagraph"/>
        <w:numPr>
          <w:ilvl w:val="0"/>
          <w:numId w:val="7"/>
        </w:numPr>
      </w:pPr>
      <w:r>
        <w:t>State assumptions</w:t>
      </w:r>
    </w:p>
    <w:p w14:paraId="136FDC07" w14:textId="6BD59BA5" w:rsidR="00A42B3C" w:rsidRDefault="00A42B3C" w:rsidP="00A42B3C">
      <w:pPr>
        <w:pStyle w:val="ListParagraph"/>
        <w:numPr>
          <w:ilvl w:val="0"/>
          <w:numId w:val="7"/>
        </w:numPr>
      </w:pPr>
      <w:r>
        <w:t>State test statistic used</w:t>
      </w:r>
    </w:p>
    <w:p w14:paraId="7CC0FD27" w14:textId="04EEB578" w:rsidR="00A42B3C" w:rsidRDefault="00A42B3C" w:rsidP="00A42B3C">
      <w:pPr>
        <w:pStyle w:val="ListParagraph"/>
        <w:numPr>
          <w:ilvl w:val="0"/>
          <w:numId w:val="7"/>
        </w:numPr>
      </w:pPr>
      <w:r>
        <w:t>State test results</w:t>
      </w:r>
    </w:p>
    <w:p w14:paraId="54B46820" w14:textId="22D5885A" w:rsidR="00A42B3C" w:rsidRDefault="00A42B3C" w:rsidP="00A42B3C">
      <w:pPr>
        <w:pStyle w:val="ListParagraph"/>
        <w:numPr>
          <w:ilvl w:val="0"/>
          <w:numId w:val="7"/>
        </w:numPr>
      </w:pPr>
      <w:r>
        <w:t>State hypothesis conclusion</w:t>
      </w:r>
    </w:p>
    <w:p w14:paraId="39E470B8" w14:textId="643B6927" w:rsidR="00C53627" w:rsidRDefault="00C53627" w:rsidP="00C53627">
      <w:r>
        <w:t xml:space="preserve">Assumptions for a </w:t>
      </w:r>
      <w:r>
        <w:rPr>
          <w:i/>
          <w:iCs/>
        </w:rPr>
        <w:t>linear regression</w:t>
      </w:r>
      <w:r>
        <w:t>:</w:t>
      </w:r>
    </w:p>
    <w:p w14:paraId="563DE757" w14:textId="6E733E46" w:rsidR="00C53627" w:rsidRDefault="00C53627" w:rsidP="00C53627">
      <w:pPr>
        <w:pStyle w:val="ListParagraph"/>
        <w:numPr>
          <w:ilvl w:val="0"/>
          <w:numId w:val="4"/>
        </w:numPr>
      </w:pPr>
      <w:r>
        <w:rPr>
          <w:u w:val="single"/>
        </w:rPr>
        <w:t>L</w:t>
      </w:r>
      <w:r>
        <w:t>ine relationship exists</w:t>
      </w:r>
    </w:p>
    <w:p w14:paraId="5628F372" w14:textId="5D27338E" w:rsidR="00C53627" w:rsidRDefault="00C53627" w:rsidP="00C53627">
      <w:pPr>
        <w:pStyle w:val="ListParagraph"/>
        <w:numPr>
          <w:ilvl w:val="0"/>
          <w:numId w:val="4"/>
        </w:numPr>
      </w:pPr>
      <w:r>
        <w:rPr>
          <w:u w:val="single"/>
        </w:rPr>
        <w:t>I</w:t>
      </w:r>
      <w:r>
        <w:t>ndependent errors</w:t>
      </w:r>
    </w:p>
    <w:p w14:paraId="43F1AB33" w14:textId="6E2A8251" w:rsidR="00C53627" w:rsidRDefault="00C53627" w:rsidP="00C53627">
      <w:pPr>
        <w:pStyle w:val="ListParagraph"/>
        <w:numPr>
          <w:ilvl w:val="0"/>
          <w:numId w:val="4"/>
        </w:numPr>
      </w:pPr>
      <w:r>
        <w:rPr>
          <w:u w:val="single"/>
        </w:rPr>
        <w:t>N</w:t>
      </w:r>
      <w:r>
        <w:t>ormally distributed errors</w:t>
      </w:r>
    </w:p>
    <w:p w14:paraId="6FD66126" w14:textId="4054C4F5" w:rsidR="00C53627" w:rsidRDefault="00C53627" w:rsidP="00C53627">
      <w:pPr>
        <w:pStyle w:val="ListParagraph"/>
        <w:numPr>
          <w:ilvl w:val="0"/>
          <w:numId w:val="4"/>
        </w:numPr>
      </w:pPr>
      <w:r>
        <w:rPr>
          <w:u w:val="single"/>
        </w:rPr>
        <w:t>E</w:t>
      </w:r>
      <w:r>
        <w:t>qual variance of errors (uniform distribution of variance)</w:t>
      </w:r>
    </w:p>
    <w:p w14:paraId="0F14D22F" w14:textId="423D7CAB" w:rsidR="00C53627" w:rsidRDefault="00C53627" w:rsidP="00C53627">
      <w:r>
        <w:t xml:space="preserve">What to report in a </w:t>
      </w:r>
      <w:r>
        <w:rPr>
          <w:i/>
          <w:iCs/>
        </w:rPr>
        <w:t>linear regression</w:t>
      </w:r>
      <w:r>
        <w:t>:</w:t>
      </w:r>
    </w:p>
    <w:p w14:paraId="4BE48942" w14:textId="7F86976F" w:rsidR="00C53627" w:rsidRDefault="00C53627" w:rsidP="00C53627">
      <w:pPr>
        <w:pStyle w:val="ListParagraph"/>
        <w:numPr>
          <w:ilvl w:val="0"/>
          <w:numId w:val="5"/>
        </w:numPr>
      </w:pPr>
      <w:r>
        <w:t>Fitted equation</w:t>
      </w:r>
    </w:p>
    <w:p w14:paraId="696C767B" w14:textId="1FFEDF26" w:rsidR="00C53627" w:rsidRDefault="00C53627" w:rsidP="00C53627">
      <w:pPr>
        <w:pStyle w:val="ListParagraph"/>
        <w:numPr>
          <w:ilvl w:val="0"/>
          <w:numId w:val="5"/>
        </w:numPr>
      </w:pPr>
      <w:r>
        <w:t>P-value</w:t>
      </w:r>
    </w:p>
    <w:p w14:paraId="0FC3709A" w14:textId="1843E336" w:rsidR="00C53627" w:rsidRDefault="00C53627" w:rsidP="00C53627">
      <w:pPr>
        <w:pStyle w:val="ListParagraph"/>
        <w:numPr>
          <w:ilvl w:val="0"/>
          <w:numId w:val="5"/>
        </w:numPr>
      </w:pPr>
      <w:r>
        <w:t>R</w:t>
      </w:r>
      <w:r>
        <w:rPr>
          <w:vertAlign w:val="superscript"/>
        </w:rPr>
        <w:t>2</w:t>
      </w:r>
      <w:r>
        <w:t xml:space="preserve"> value</w:t>
      </w:r>
      <w:r w:rsidR="0037614E">
        <w:t xml:space="preserve"> (and adjusted R</w:t>
      </w:r>
      <w:r w:rsidR="0037614E">
        <w:rPr>
          <w:vertAlign w:val="superscript"/>
        </w:rPr>
        <w:t>2</w:t>
      </w:r>
      <w:r w:rsidR="0037614E">
        <w:t>)</w:t>
      </w:r>
    </w:p>
    <w:p w14:paraId="5CDB864E" w14:textId="36F655A6" w:rsidR="00C53627" w:rsidRDefault="00C53627" w:rsidP="00C53627">
      <w:pPr>
        <w:pStyle w:val="ListParagraph"/>
        <w:numPr>
          <w:ilvl w:val="0"/>
          <w:numId w:val="5"/>
        </w:numPr>
      </w:pPr>
      <w:r>
        <w:t>Scatter plot of data</w:t>
      </w:r>
    </w:p>
    <w:p w14:paraId="23407F92" w14:textId="478E90E0" w:rsidR="00C53627" w:rsidRDefault="00C53627" w:rsidP="00C53627">
      <w:pPr>
        <w:pStyle w:val="ListParagraph"/>
        <w:numPr>
          <w:ilvl w:val="0"/>
          <w:numId w:val="5"/>
        </w:numPr>
      </w:pPr>
      <w:r>
        <w:t>Residuals vs fit plot</w:t>
      </w:r>
    </w:p>
    <w:p w14:paraId="4358B0E0" w14:textId="55FBE2CD" w:rsidR="0037614E" w:rsidRDefault="0037614E" w:rsidP="0037614E">
      <w:r>
        <w:t xml:space="preserve">Workflow for </w:t>
      </w:r>
      <w:r>
        <w:rPr>
          <w:i/>
          <w:iCs/>
        </w:rPr>
        <w:t>linear regression</w:t>
      </w:r>
      <w:r>
        <w:t>:</w:t>
      </w:r>
    </w:p>
    <w:p w14:paraId="3B38ACC3" w14:textId="638538C7" w:rsidR="0037614E" w:rsidRDefault="0037614E" w:rsidP="0037614E">
      <w:pPr>
        <w:pStyle w:val="ListParagraph"/>
        <w:numPr>
          <w:ilvl w:val="0"/>
          <w:numId w:val="6"/>
        </w:numPr>
      </w:pPr>
      <w:r>
        <w:t>Identify the regression problem</w:t>
      </w:r>
    </w:p>
    <w:p w14:paraId="08E00E40" w14:textId="5B85FB0B" w:rsidR="0037614E" w:rsidRDefault="0037614E" w:rsidP="0037614E">
      <w:pPr>
        <w:pStyle w:val="ListParagraph"/>
        <w:numPr>
          <w:ilvl w:val="0"/>
          <w:numId w:val="6"/>
        </w:numPr>
      </w:pPr>
      <w:r>
        <w:t>Explore the data (clean, visualise)</w:t>
      </w:r>
    </w:p>
    <w:p w14:paraId="3DFCAC10" w14:textId="35C6BEC5" w:rsidR="0037614E" w:rsidRDefault="0037614E" w:rsidP="0037614E">
      <w:pPr>
        <w:pStyle w:val="ListParagraph"/>
        <w:numPr>
          <w:ilvl w:val="0"/>
          <w:numId w:val="6"/>
        </w:numPr>
      </w:pPr>
      <w:r>
        <w:t>Select dependent and independent variables</w:t>
      </w:r>
    </w:p>
    <w:p w14:paraId="24915C31" w14:textId="43A39FC1" w:rsidR="0037614E" w:rsidRDefault="0037614E" w:rsidP="0037614E">
      <w:pPr>
        <w:pStyle w:val="ListParagraph"/>
        <w:numPr>
          <w:ilvl w:val="0"/>
          <w:numId w:val="6"/>
        </w:numPr>
      </w:pPr>
      <w:r>
        <w:t>Build and fit regression model</w:t>
      </w:r>
    </w:p>
    <w:p w14:paraId="7734861A" w14:textId="330CCABD" w:rsidR="0037614E" w:rsidRDefault="0037614E" w:rsidP="0037614E">
      <w:pPr>
        <w:pStyle w:val="ListParagraph"/>
        <w:numPr>
          <w:ilvl w:val="0"/>
          <w:numId w:val="6"/>
        </w:numPr>
      </w:pPr>
      <w:r>
        <w:t>Conduct residual analysis</w:t>
      </w:r>
    </w:p>
    <w:p w14:paraId="0CCA7B19" w14:textId="55AA0F37" w:rsidR="0037614E" w:rsidRDefault="0037614E" w:rsidP="0037614E">
      <w:pPr>
        <w:pStyle w:val="ListParagraph"/>
        <w:numPr>
          <w:ilvl w:val="0"/>
          <w:numId w:val="6"/>
        </w:numPr>
      </w:pPr>
      <w:r>
        <w:t>Refine the model</w:t>
      </w:r>
    </w:p>
    <w:p w14:paraId="7816A677" w14:textId="35E766A9" w:rsidR="0037614E" w:rsidRDefault="0037614E" w:rsidP="0037614E">
      <w:pPr>
        <w:pStyle w:val="ListParagraph"/>
        <w:numPr>
          <w:ilvl w:val="0"/>
          <w:numId w:val="6"/>
        </w:numPr>
      </w:pPr>
      <w:r>
        <w:t>Interpret the model</w:t>
      </w:r>
    </w:p>
    <w:p w14:paraId="095A2A9A" w14:textId="77594271" w:rsidR="000933C8" w:rsidRDefault="000933C8" w:rsidP="000933C8">
      <w:r>
        <w:t xml:space="preserve">Workflow for </w:t>
      </w:r>
      <w:r>
        <w:rPr>
          <w:i/>
          <w:iCs/>
        </w:rPr>
        <w:t>cluster analysis</w:t>
      </w:r>
      <w:r>
        <w:t>:</w:t>
      </w:r>
    </w:p>
    <w:p w14:paraId="3656E7FB" w14:textId="3EAB54A6" w:rsidR="000933C8" w:rsidRDefault="000933C8" w:rsidP="000933C8">
      <w:pPr>
        <w:pStyle w:val="ListParagraph"/>
        <w:numPr>
          <w:ilvl w:val="0"/>
          <w:numId w:val="8"/>
        </w:numPr>
      </w:pPr>
      <w:r>
        <w:t>Standardise the data (Z-score, min-max rescaling)</w:t>
      </w:r>
    </w:p>
    <w:p w14:paraId="4DDB3A66" w14:textId="2793BEE4" w:rsidR="000933C8" w:rsidRDefault="000933C8" w:rsidP="000933C8">
      <w:pPr>
        <w:pStyle w:val="ListParagraph"/>
        <w:numPr>
          <w:ilvl w:val="0"/>
          <w:numId w:val="8"/>
        </w:numPr>
      </w:pPr>
      <w:r>
        <w:t>Choose and apply a clustering method (K-means or hierarchical)</w:t>
      </w:r>
    </w:p>
    <w:p w14:paraId="3DBD1592" w14:textId="15589BAC" w:rsidR="000933C8" w:rsidRDefault="000933C8" w:rsidP="000933C8">
      <w:pPr>
        <w:pStyle w:val="ListParagraph"/>
        <w:numPr>
          <w:ilvl w:val="0"/>
          <w:numId w:val="8"/>
        </w:numPr>
      </w:pPr>
      <w:r>
        <w:t>Assess clustering quality (SSE/Elbow diagram, Silhouette analysis)</w:t>
      </w:r>
    </w:p>
    <w:p w14:paraId="0358DD45" w14:textId="6C2E5E4F" w:rsidR="000933C8" w:rsidRDefault="000933C8" w:rsidP="000933C8">
      <w:pPr>
        <w:pStyle w:val="ListParagraph"/>
        <w:numPr>
          <w:ilvl w:val="0"/>
          <w:numId w:val="8"/>
        </w:numPr>
      </w:pPr>
      <w:r>
        <w:t>Visualisation (cluster plot, elbow diagram, silhouette plot)</w:t>
      </w:r>
    </w:p>
    <w:p w14:paraId="49E4E18D" w14:textId="7922D444" w:rsidR="000933C8" w:rsidRPr="000933C8" w:rsidRDefault="000933C8" w:rsidP="000933C8">
      <w:pPr>
        <w:pStyle w:val="ListParagraph"/>
        <w:numPr>
          <w:ilvl w:val="0"/>
          <w:numId w:val="8"/>
        </w:numPr>
      </w:pPr>
      <w:r>
        <w:t>Follow up (Describe cluster characteristics, examine cluster centroids, compare against unconsidered variables/geography, consider analysing clusters separately)</w:t>
      </w:r>
    </w:p>
    <w:p w14:paraId="3CCC5C55" w14:textId="0B0B4C17" w:rsidR="000661A5" w:rsidRDefault="000661A5">
      <w:r>
        <w:br w:type="page"/>
      </w:r>
    </w:p>
    <w:p w14:paraId="46B57766" w14:textId="3AB25F51" w:rsidR="00BF0799" w:rsidRPr="00BF0799" w:rsidRDefault="00BF0799" w:rsidP="00BF0799">
      <w:pPr>
        <w:pStyle w:val="Heading2"/>
      </w:pPr>
      <w:r>
        <w:lastRenderedPageBreak/>
        <w:t>Resources</w:t>
      </w:r>
    </w:p>
    <w:p w14:paraId="31617DA6" w14:textId="67FF8967" w:rsidR="000661A5" w:rsidRDefault="000661A5" w:rsidP="000661A5"/>
    <w:p w14:paraId="51473299" w14:textId="3CDA23E0" w:rsidR="00BF0799" w:rsidRPr="00BF0799" w:rsidRDefault="00BF0799" w:rsidP="000661A5">
      <w:pPr>
        <w:rPr>
          <w:b/>
          <w:bCs/>
        </w:rPr>
      </w:pPr>
      <w:r>
        <w:rPr>
          <w:b/>
          <w:bCs/>
        </w:rPr>
        <w:t>Potential Data Sources</w:t>
      </w:r>
    </w:p>
    <w:tbl>
      <w:tblPr>
        <w:tblStyle w:val="TableGrid"/>
        <w:tblW w:w="0" w:type="auto"/>
        <w:tblLook w:val="04A0" w:firstRow="1" w:lastRow="0" w:firstColumn="1" w:lastColumn="0" w:noHBand="0" w:noVBand="1"/>
      </w:tblPr>
      <w:tblGrid>
        <w:gridCol w:w="1696"/>
        <w:gridCol w:w="4314"/>
        <w:gridCol w:w="3006"/>
      </w:tblGrid>
      <w:tr w:rsidR="000661A5" w14:paraId="772CA05E" w14:textId="77777777" w:rsidTr="000661A5">
        <w:tc>
          <w:tcPr>
            <w:tcW w:w="1696" w:type="dxa"/>
          </w:tcPr>
          <w:p w14:paraId="3D88EBB1" w14:textId="71AF8834" w:rsidR="000661A5" w:rsidRPr="000661A5" w:rsidRDefault="000661A5" w:rsidP="000661A5">
            <w:pPr>
              <w:jc w:val="left"/>
              <w:rPr>
                <w:b/>
                <w:bCs/>
              </w:rPr>
            </w:pPr>
            <w:r w:rsidRPr="000661A5">
              <w:rPr>
                <w:b/>
                <w:bCs/>
              </w:rPr>
              <w:t>Theme</w:t>
            </w:r>
          </w:p>
        </w:tc>
        <w:tc>
          <w:tcPr>
            <w:tcW w:w="4314" w:type="dxa"/>
          </w:tcPr>
          <w:p w14:paraId="48C6BADE" w14:textId="56DFE6A2" w:rsidR="000661A5" w:rsidRPr="000661A5" w:rsidRDefault="000661A5" w:rsidP="000661A5">
            <w:pPr>
              <w:jc w:val="left"/>
              <w:rPr>
                <w:b/>
                <w:bCs/>
              </w:rPr>
            </w:pPr>
            <w:r w:rsidRPr="000661A5">
              <w:rPr>
                <w:b/>
                <w:bCs/>
              </w:rPr>
              <w:t>Description</w:t>
            </w:r>
          </w:p>
        </w:tc>
        <w:tc>
          <w:tcPr>
            <w:tcW w:w="3006" w:type="dxa"/>
          </w:tcPr>
          <w:p w14:paraId="0AFBC120" w14:textId="5C099A35" w:rsidR="000661A5" w:rsidRPr="000661A5" w:rsidRDefault="000661A5" w:rsidP="000661A5">
            <w:pPr>
              <w:jc w:val="left"/>
              <w:rPr>
                <w:b/>
                <w:bCs/>
              </w:rPr>
            </w:pPr>
            <w:r w:rsidRPr="000661A5">
              <w:rPr>
                <w:b/>
                <w:bCs/>
              </w:rPr>
              <w:t>Source</w:t>
            </w:r>
          </w:p>
        </w:tc>
      </w:tr>
      <w:tr w:rsidR="000661A5" w14:paraId="46E493D9" w14:textId="77777777" w:rsidTr="000661A5">
        <w:tc>
          <w:tcPr>
            <w:tcW w:w="1696" w:type="dxa"/>
          </w:tcPr>
          <w:p w14:paraId="06113BC0" w14:textId="23330A99" w:rsidR="000661A5" w:rsidRPr="000661A5" w:rsidRDefault="000661A5" w:rsidP="000661A5">
            <w:pPr>
              <w:jc w:val="left"/>
              <w:rPr>
                <w:sz w:val="20"/>
                <w:szCs w:val="20"/>
              </w:rPr>
            </w:pPr>
            <w:r>
              <w:rPr>
                <w:sz w:val="20"/>
                <w:szCs w:val="20"/>
              </w:rPr>
              <w:t>Monkeypox</w:t>
            </w:r>
          </w:p>
        </w:tc>
        <w:tc>
          <w:tcPr>
            <w:tcW w:w="4314" w:type="dxa"/>
          </w:tcPr>
          <w:p w14:paraId="5E2DE321" w14:textId="3120BBAA" w:rsidR="000661A5" w:rsidRPr="000661A5" w:rsidRDefault="000661A5" w:rsidP="000661A5">
            <w:pPr>
              <w:jc w:val="left"/>
              <w:rPr>
                <w:sz w:val="20"/>
                <w:szCs w:val="20"/>
              </w:rPr>
            </w:pPr>
            <w:r w:rsidRPr="000661A5">
              <w:rPr>
                <w:sz w:val="20"/>
                <w:szCs w:val="20"/>
              </w:rPr>
              <w:t>Monkeypox cases in the EU/EEA, by day and country</w:t>
            </w:r>
          </w:p>
        </w:tc>
        <w:tc>
          <w:tcPr>
            <w:tcW w:w="3006" w:type="dxa"/>
          </w:tcPr>
          <w:p w14:paraId="216F538A" w14:textId="62256C9E" w:rsidR="000661A5" w:rsidRPr="000661A5" w:rsidRDefault="00000000" w:rsidP="000661A5">
            <w:pPr>
              <w:jc w:val="left"/>
              <w:rPr>
                <w:sz w:val="20"/>
                <w:szCs w:val="20"/>
              </w:rPr>
            </w:pPr>
            <w:hyperlink r:id="rId7" w:history="1">
              <w:r w:rsidR="000661A5" w:rsidRPr="000661A5">
                <w:rPr>
                  <w:rStyle w:val="Hyperlink"/>
                  <w:sz w:val="20"/>
                  <w:szCs w:val="20"/>
                </w:rPr>
                <w:t>European Centre for Disease Prevention and Control</w:t>
              </w:r>
            </w:hyperlink>
          </w:p>
        </w:tc>
      </w:tr>
      <w:tr w:rsidR="000661A5" w14:paraId="579CCB68" w14:textId="77777777" w:rsidTr="000661A5">
        <w:tc>
          <w:tcPr>
            <w:tcW w:w="1696" w:type="dxa"/>
          </w:tcPr>
          <w:p w14:paraId="4A08C6F2" w14:textId="301D87DF" w:rsidR="000661A5" w:rsidRPr="000661A5" w:rsidRDefault="00977597" w:rsidP="000661A5">
            <w:pPr>
              <w:jc w:val="left"/>
              <w:rPr>
                <w:sz w:val="20"/>
                <w:szCs w:val="20"/>
              </w:rPr>
            </w:pPr>
            <w:r>
              <w:rPr>
                <w:sz w:val="20"/>
                <w:szCs w:val="20"/>
              </w:rPr>
              <w:t>COVID</w:t>
            </w:r>
          </w:p>
        </w:tc>
        <w:tc>
          <w:tcPr>
            <w:tcW w:w="4314" w:type="dxa"/>
          </w:tcPr>
          <w:p w14:paraId="4DC506F5" w14:textId="1D7A8100" w:rsidR="000661A5" w:rsidRPr="000661A5" w:rsidRDefault="00977597" w:rsidP="000661A5">
            <w:pPr>
              <w:jc w:val="left"/>
              <w:rPr>
                <w:sz w:val="20"/>
                <w:szCs w:val="20"/>
              </w:rPr>
            </w:pPr>
            <w:r>
              <w:rPr>
                <w:sz w:val="20"/>
                <w:szCs w:val="20"/>
              </w:rPr>
              <w:t>National Flu and COVID-19 Surveillance reports UK</w:t>
            </w:r>
          </w:p>
        </w:tc>
        <w:tc>
          <w:tcPr>
            <w:tcW w:w="3006" w:type="dxa"/>
          </w:tcPr>
          <w:p w14:paraId="1AA8C511" w14:textId="4B6B82F9" w:rsidR="000661A5" w:rsidRPr="000661A5" w:rsidRDefault="00000000" w:rsidP="000661A5">
            <w:pPr>
              <w:jc w:val="left"/>
              <w:rPr>
                <w:sz w:val="20"/>
                <w:szCs w:val="20"/>
              </w:rPr>
            </w:pPr>
            <w:hyperlink r:id="rId8" w:history="1">
              <w:r w:rsidR="00977597" w:rsidRPr="00977597">
                <w:rPr>
                  <w:rStyle w:val="Hyperlink"/>
                  <w:sz w:val="20"/>
                  <w:szCs w:val="20"/>
                </w:rPr>
                <w:t>UK Health Security Agency</w:t>
              </w:r>
            </w:hyperlink>
          </w:p>
        </w:tc>
      </w:tr>
      <w:tr w:rsidR="000661A5" w14:paraId="7FB2F434" w14:textId="77777777" w:rsidTr="000661A5">
        <w:tc>
          <w:tcPr>
            <w:tcW w:w="1696" w:type="dxa"/>
          </w:tcPr>
          <w:p w14:paraId="35343165" w14:textId="363DABAD" w:rsidR="000661A5" w:rsidRPr="000661A5" w:rsidRDefault="00C67A65" w:rsidP="000661A5">
            <w:pPr>
              <w:jc w:val="left"/>
              <w:rPr>
                <w:sz w:val="20"/>
                <w:szCs w:val="20"/>
              </w:rPr>
            </w:pPr>
            <w:r>
              <w:rPr>
                <w:sz w:val="20"/>
                <w:szCs w:val="20"/>
              </w:rPr>
              <w:t>Indigenous health outcomes</w:t>
            </w:r>
          </w:p>
        </w:tc>
        <w:tc>
          <w:tcPr>
            <w:tcW w:w="4314" w:type="dxa"/>
          </w:tcPr>
          <w:p w14:paraId="2E57B6A6" w14:textId="3F003839" w:rsidR="000661A5" w:rsidRPr="000661A5" w:rsidRDefault="00C67A65" w:rsidP="000661A5">
            <w:pPr>
              <w:jc w:val="left"/>
              <w:rPr>
                <w:sz w:val="20"/>
                <w:szCs w:val="20"/>
              </w:rPr>
            </w:pPr>
            <w:r>
              <w:rPr>
                <w:sz w:val="20"/>
                <w:szCs w:val="20"/>
              </w:rPr>
              <w:t>Australian Prisoner Statistics by Indigenous status, Jurisdiction and Year</w:t>
            </w:r>
          </w:p>
        </w:tc>
        <w:tc>
          <w:tcPr>
            <w:tcW w:w="3006" w:type="dxa"/>
          </w:tcPr>
          <w:p w14:paraId="7606D8AA" w14:textId="58D10115" w:rsidR="000661A5" w:rsidRPr="000661A5" w:rsidRDefault="00000000" w:rsidP="000661A5">
            <w:pPr>
              <w:jc w:val="left"/>
              <w:rPr>
                <w:sz w:val="20"/>
                <w:szCs w:val="20"/>
              </w:rPr>
            </w:pPr>
            <w:hyperlink r:id="rId9" w:anchor="data-download" w:history="1">
              <w:r w:rsidR="00C67A65" w:rsidRPr="00C67A65">
                <w:rPr>
                  <w:rStyle w:val="Hyperlink"/>
                  <w:sz w:val="20"/>
                  <w:szCs w:val="20"/>
                </w:rPr>
                <w:t>ABS</w:t>
              </w:r>
            </w:hyperlink>
          </w:p>
        </w:tc>
      </w:tr>
      <w:tr w:rsidR="000661A5" w14:paraId="62F1C9B2" w14:textId="77777777" w:rsidTr="000661A5">
        <w:tc>
          <w:tcPr>
            <w:tcW w:w="1696" w:type="dxa"/>
          </w:tcPr>
          <w:p w14:paraId="0F4F783D" w14:textId="5C59EC54" w:rsidR="000661A5" w:rsidRPr="000661A5" w:rsidRDefault="00630AE6" w:rsidP="000661A5">
            <w:pPr>
              <w:jc w:val="left"/>
              <w:rPr>
                <w:sz w:val="20"/>
                <w:szCs w:val="20"/>
              </w:rPr>
            </w:pPr>
            <w:r>
              <w:rPr>
                <w:sz w:val="20"/>
                <w:szCs w:val="20"/>
              </w:rPr>
              <w:t>HIV</w:t>
            </w:r>
          </w:p>
        </w:tc>
        <w:tc>
          <w:tcPr>
            <w:tcW w:w="4314" w:type="dxa"/>
          </w:tcPr>
          <w:p w14:paraId="76C46DAF" w14:textId="1941B95B" w:rsidR="000661A5" w:rsidRPr="000661A5" w:rsidRDefault="00630AE6" w:rsidP="000661A5">
            <w:pPr>
              <w:jc w:val="left"/>
              <w:rPr>
                <w:sz w:val="20"/>
                <w:szCs w:val="20"/>
              </w:rPr>
            </w:pPr>
            <w:r>
              <w:rPr>
                <w:sz w:val="20"/>
                <w:szCs w:val="20"/>
              </w:rPr>
              <w:t>HIV Annual Data Tables UK</w:t>
            </w:r>
          </w:p>
        </w:tc>
        <w:tc>
          <w:tcPr>
            <w:tcW w:w="3006" w:type="dxa"/>
          </w:tcPr>
          <w:p w14:paraId="68B0D53F" w14:textId="22B4588A" w:rsidR="000661A5" w:rsidRPr="000661A5" w:rsidRDefault="00000000" w:rsidP="000661A5">
            <w:pPr>
              <w:jc w:val="left"/>
              <w:rPr>
                <w:sz w:val="20"/>
                <w:szCs w:val="20"/>
              </w:rPr>
            </w:pPr>
            <w:hyperlink r:id="rId10" w:history="1">
              <w:r w:rsidR="00630AE6" w:rsidRPr="00630AE6">
                <w:rPr>
                  <w:rStyle w:val="Hyperlink"/>
                  <w:sz w:val="20"/>
                  <w:szCs w:val="20"/>
                </w:rPr>
                <w:t>UK Healt</w:t>
              </w:r>
              <w:r w:rsidR="00630AE6" w:rsidRPr="00630AE6">
                <w:rPr>
                  <w:rStyle w:val="Hyperlink"/>
                  <w:sz w:val="20"/>
                  <w:szCs w:val="20"/>
                </w:rPr>
                <w:t>h</w:t>
              </w:r>
              <w:r w:rsidR="00630AE6" w:rsidRPr="00630AE6">
                <w:rPr>
                  <w:rStyle w:val="Hyperlink"/>
                  <w:sz w:val="20"/>
                  <w:szCs w:val="20"/>
                </w:rPr>
                <w:t xml:space="preserve"> Security Agency</w:t>
              </w:r>
            </w:hyperlink>
          </w:p>
        </w:tc>
      </w:tr>
      <w:tr w:rsidR="002049FD" w14:paraId="06563392" w14:textId="77777777" w:rsidTr="000661A5">
        <w:tc>
          <w:tcPr>
            <w:tcW w:w="1696" w:type="dxa"/>
          </w:tcPr>
          <w:p w14:paraId="5D333A4A" w14:textId="7EF00693" w:rsidR="002049FD" w:rsidRDefault="002049FD" w:rsidP="000661A5">
            <w:pPr>
              <w:jc w:val="left"/>
              <w:rPr>
                <w:sz w:val="20"/>
                <w:szCs w:val="20"/>
              </w:rPr>
            </w:pPr>
            <w:r>
              <w:rPr>
                <w:sz w:val="20"/>
                <w:szCs w:val="20"/>
              </w:rPr>
              <w:t>HIV</w:t>
            </w:r>
          </w:p>
        </w:tc>
        <w:tc>
          <w:tcPr>
            <w:tcW w:w="4314" w:type="dxa"/>
          </w:tcPr>
          <w:p w14:paraId="11502352" w14:textId="32C7970A" w:rsidR="002049FD" w:rsidRDefault="002049FD" w:rsidP="000661A5">
            <w:pPr>
              <w:jc w:val="left"/>
              <w:rPr>
                <w:sz w:val="20"/>
                <w:szCs w:val="20"/>
              </w:rPr>
            </w:pPr>
            <w:r>
              <w:rPr>
                <w:sz w:val="20"/>
                <w:szCs w:val="20"/>
              </w:rPr>
              <w:t>Local Government Expenditure UK</w:t>
            </w:r>
          </w:p>
        </w:tc>
        <w:tc>
          <w:tcPr>
            <w:tcW w:w="3006" w:type="dxa"/>
          </w:tcPr>
          <w:p w14:paraId="4A67AC9F" w14:textId="3F198E00" w:rsidR="002049FD" w:rsidRDefault="00000000" w:rsidP="000661A5">
            <w:pPr>
              <w:jc w:val="left"/>
              <w:rPr>
                <w:sz w:val="20"/>
                <w:szCs w:val="20"/>
              </w:rPr>
            </w:pPr>
            <w:hyperlink r:id="rId11" w:history="1">
              <w:r w:rsidR="002049FD" w:rsidRPr="002049FD">
                <w:rPr>
                  <w:rStyle w:val="Hyperlink"/>
                  <w:sz w:val="20"/>
                  <w:szCs w:val="20"/>
                </w:rPr>
                <w:t>Ministry of Housing, Communities and Local Government</w:t>
              </w:r>
            </w:hyperlink>
          </w:p>
        </w:tc>
      </w:tr>
    </w:tbl>
    <w:p w14:paraId="04A70C89" w14:textId="3CFAC8AE" w:rsidR="000661A5" w:rsidRDefault="000661A5" w:rsidP="000661A5"/>
    <w:p w14:paraId="7BF18383" w14:textId="00401A12" w:rsidR="00056203" w:rsidRPr="00056203" w:rsidRDefault="00056203" w:rsidP="000661A5">
      <w:pPr>
        <w:rPr>
          <w:b/>
          <w:bCs/>
        </w:rPr>
      </w:pPr>
      <w:r w:rsidRPr="00056203">
        <w:rPr>
          <w:b/>
          <w:bCs/>
        </w:rPr>
        <w:t>Test Statistic Decision Tree</w:t>
      </w:r>
    </w:p>
    <w:tbl>
      <w:tblPr>
        <w:tblStyle w:val="TableGrid"/>
        <w:tblW w:w="0" w:type="auto"/>
        <w:tblLook w:val="04A0" w:firstRow="1" w:lastRow="0" w:firstColumn="1" w:lastColumn="0" w:noHBand="0" w:noVBand="1"/>
      </w:tblPr>
      <w:tblGrid>
        <w:gridCol w:w="1246"/>
        <w:gridCol w:w="757"/>
        <w:gridCol w:w="1350"/>
        <w:gridCol w:w="357"/>
        <w:gridCol w:w="1924"/>
        <w:gridCol w:w="426"/>
        <w:gridCol w:w="1027"/>
        <w:gridCol w:w="742"/>
        <w:gridCol w:w="1187"/>
      </w:tblGrid>
      <w:tr w:rsidR="00056203" w14:paraId="2B9BFA79" w14:textId="5FF7784B" w:rsidTr="00056203">
        <w:tc>
          <w:tcPr>
            <w:tcW w:w="1246" w:type="dxa"/>
            <w:vMerge w:val="restart"/>
            <w:vAlign w:val="center"/>
          </w:tcPr>
          <w:p w14:paraId="5DC87456" w14:textId="1FAB5FD2" w:rsidR="00056203" w:rsidRPr="00A42B3C" w:rsidRDefault="00056203" w:rsidP="00A42B3C">
            <w:pPr>
              <w:jc w:val="left"/>
              <w:rPr>
                <w:sz w:val="18"/>
                <w:szCs w:val="18"/>
              </w:rPr>
            </w:pPr>
            <w:r w:rsidRPr="00A42B3C">
              <w:rPr>
                <w:sz w:val="18"/>
                <w:szCs w:val="18"/>
              </w:rPr>
              <w:t>Is the independent variable categorical or quantitative?</w:t>
            </w:r>
          </w:p>
        </w:tc>
        <w:tc>
          <w:tcPr>
            <w:tcW w:w="757" w:type="dxa"/>
            <w:vMerge w:val="restart"/>
            <w:shd w:val="clear" w:color="auto" w:fill="E7E6E6" w:themeFill="background2"/>
            <w:vAlign w:val="center"/>
          </w:tcPr>
          <w:p w14:paraId="6E23E44D" w14:textId="2BD56A11" w:rsidR="00056203" w:rsidRPr="00A42B3C" w:rsidRDefault="00056203" w:rsidP="00A42B3C">
            <w:pPr>
              <w:jc w:val="left"/>
              <w:rPr>
                <w:sz w:val="18"/>
                <w:szCs w:val="18"/>
              </w:rPr>
            </w:pPr>
            <w:r w:rsidRPr="00A42B3C">
              <w:rPr>
                <w:sz w:val="18"/>
                <w:szCs w:val="18"/>
              </w:rPr>
              <w:t>Cat.</w:t>
            </w:r>
          </w:p>
        </w:tc>
        <w:tc>
          <w:tcPr>
            <w:tcW w:w="1350" w:type="dxa"/>
            <w:vMerge w:val="restart"/>
            <w:vAlign w:val="center"/>
          </w:tcPr>
          <w:p w14:paraId="71FA4EBD" w14:textId="7D9F1C21" w:rsidR="00056203" w:rsidRPr="00A42B3C" w:rsidRDefault="00056203" w:rsidP="00A42B3C">
            <w:pPr>
              <w:jc w:val="left"/>
              <w:rPr>
                <w:sz w:val="18"/>
                <w:szCs w:val="18"/>
              </w:rPr>
            </w:pPr>
            <w:r w:rsidRPr="00A42B3C">
              <w:rPr>
                <w:sz w:val="18"/>
                <w:szCs w:val="18"/>
              </w:rPr>
              <w:t>Is the dependent categorical or quantitative?</w:t>
            </w:r>
          </w:p>
        </w:tc>
        <w:tc>
          <w:tcPr>
            <w:tcW w:w="357" w:type="dxa"/>
            <w:shd w:val="clear" w:color="auto" w:fill="E7E6E6" w:themeFill="background2"/>
            <w:vAlign w:val="center"/>
          </w:tcPr>
          <w:p w14:paraId="2AAB90BD" w14:textId="546BDB2F" w:rsidR="00056203" w:rsidRPr="00A42B3C" w:rsidRDefault="00056203" w:rsidP="00A42B3C">
            <w:pPr>
              <w:jc w:val="left"/>
              <w:rPr>
                <w:sz w:val="18"/>
                <w:szCs w:val="18"/>
              </w:rPr>
            </w:pPr>
            <w:r>
              <w:rPr>
                <w:sz w:val="18"/>
                <w:szCs w:val="18"/>
              </w:rPr>
              <w:t>C</w:t>
            </w:r>
          </w:p>
        </w:tc>
        <w:tc>
          <w:tcPr>
            <w:tcW w:w="5306" w:type="dxa"/>
            <w:gridSpan w:val="5"/>
            <w:shd w:val="clear" w:color="auto" w:fill="E2EFD9" w:themeFill="accent6" w:themeFillTint="33"/>
            <w:vAlign w:val="center"/>
          </w:tcPr>
          <w:p w14:paraId="33CEC0B2" w14:textId="4AFA4D3F" w:rsidR="00056203" w:rsidRDefault="00056203" w:rsidP="00056203">
            <w:pPr>
              <w:jc w:val="right"/>
              <w:rPr>
                <w:sz w:val="18"/>
                <w:szCs w:val="18"/>
              </w:rPr>
            </w:pPr>
            <w:r>
              <w:rPr>
                <w:sz w:val="18"/>
                <w:szCs w:val="18"/>
              </w:rPr>
              <w:t>Logistic Regression; Wald Test</w:t>
            </w:r>
          </w:p>
        </w:tc>
      </w:tr>
      <w:tr w:rsidR="00056203" w14:paraId="26CC7B54" w14:textId="1DC33246" w:rsidTr="00056203">
        <w:trPr>
          <w:trHeight w:val="287"/>
        </w:trPr>
        <w:tc>
          <w:tcPr>
            <w:tcW w:w="1246" w:type="dxa"/>
            <w:vMerge/>
            <w:vAlign w:val="center"/>
          </w:tcPr>
          <w:p w14:paraId="19E4B885" w14:textId="77777777" w:rsidR="00056203" w:rsidRPr="00A42B3C" w:rsidRDefault="00056203" w:rsidP="00A42B3C">
            <w:pPr>
              <w:jc w:val="left"/>
              <w:rPr>
                <w:sz w:val="18"/>
                <w:szCs w:val="18"/>
              </w:rPr>
            </w:pPr>
          </w:p>
        </w:tc>
        <w:tc>
          <w:tcPr>
            <w:tcW w:w="757" w:type="dxa"/>
            <w:vMerge/>
            <w:shd w:val="clear" w:color="auto" w:fill="E7E6E6" w:themeFill="background2"/>
            <w:vAlign w:val="center"/>
          </w:tcPr>
          <w:p w14:paraId="76878182" w14:textId="77777777" w:rsidR="00056203" w:rsidRPr="00A42B3C" w:rsidRDefault="00056203" w:rsidP="00A42B3C">
            <w:pPr>
              <w:jc w:val="left"/>
              <w:rPr>
                <w:sz w:val="18"/>
                <w:szCs w:val="18"/>
              </w:rPr>
            </w:pPr>
          </w:p>
        </w:tc>
        <w:tc>
          <w:tcPr>
            <w:tcW w:w="1350" w:type="dxa"/>
            <w:vMerge/>
            <w:vAlign w:val="center"/>
          </w:tcPr>
          <w:p w14:paraId="47804519" w14:textId="77777777" w:rsidR="00056203" w:rsidRPr="00A42B3C" w:rsidRDefault="00056203" w:rsidP="00A42B3C">
            <w:pPr>
              <w:jc w:val="left"/>
              <w:rPr>
                <w:sz w:val="18"/>
                <w:szCs w:val="18"/>
              </w:rPr>
            </w:pPr>
          </w:p>
        </w:tc>
        <w:tc>
          <w:tcPr>
            <w:tcW w:w="357" w:type="dxa"/>
            <w:vMerge w:val="restart"/>
            <w:shd w:val="clear" w:color="auto" w:fill="E7E6E6" w:themeFill="background2"/>
            <w:vAlign w:val="center"/>
          </w:tcPr>
          <w:p w14:paraId="1EE7A713" w14:textId="48C4733D" w:rsidR="00056203" w:rsidRPr="00A42B3C" w:rsidRDefault="00056203" w:rsidP="00A42B3C">
            <w:pPr>
              <w:jc w:val="left"/>
              <w:rPr>
                <w:sz w:val="18"/>
                <w:szCs w:val="18"/>
              </w:rPr>
            </w:pPr>
            <w:r>
              <w:rPr>
                <w:sz w:val="18"/>
                <w:szCs w:val="18"/>
              </w:rPr>
              <w:t>Q</w:t>
            </w:r>
          </w:p>
        </w:tc>
        <w:tc>
          <w:tcPr>
            <w:tcW w:w="1924" w:type="dxa"/>
            <w:vMerge w:val="restart"/>
            <w:vAlign w:val="center"/>
          </w:tcPr>
          <w:p w14:paraId="38015952" w14:textId="6084B3FF" w:rsidR="00056203" w:rsidRPr="00A42B3C" w:rsidRDefault="00056203" w:rsidP="00A42B3C">
            <w:pPr>
              <w:jc w:val="left"/>
              <w:rPr>
                <w:sz w:val="18"/>
                <w:szCs w:val="18"/>
              </w:rPr>
            </w:pPr>
            <w:r>
              <w:rPr>
                <w:sz w:val="18"/>
                <w:szCs w:val="18"/>
              </w:rPr>
              <w:t>How many independent variables are there?</w:t>
            </w:r>
          </w:p>
        </w:tc>
        <w:tc>
          <w:tcPr>
            <w:tcW w:w="426" w:type="dxa"/>
            <w:shd w:val="clear" w:color="auto" w:fill="E7E6E6" w:themeFill="background2"/>
          </w:tcPr>
          <w:p w14:paraId="2D5FC446" w14:textId="2180B685" w:rsidR="00056203" w:rsidRDefault="00056203" w:rsidP="00A42B3C">
            <w:pPr>
              <w:jc w:val="left"/>
              <w:rPr>
                <w:sz w:val="18"/>
                <w:szCs w:val="18"/>
              </w:rPr>
            </w:pPr>
            <w:r>
              <w:rPr>
                <w:sz w:val="18"/>
                <w:szCs w:val="18"/>
              </w:rPr>
              <w:t>1</w:t>
            </w:r>
          </w:p>
        </w:tc>
        <w:tc>
          <w:tcPr>
            <w:tcW w:w="2956" w:type="dxa"/>
            <w:gridSpan w:val="3"/>
            <w:shd w:val="clear" w:color="auto" w:fill="E2EFD9" w:themeFill="accent6" w:themeFillTint="33"/>
            <w:vAlign w:val="center"/>
          </w:tcPr>
          <w:p w14:paraId="646C7774" w14:textId="0DF44BCE" w:rsidR="00056203" w:rsidRDefault="00056203" w:rsidP="00056203">
            <w:pPr>
              <w:jc w:val="right"/>
              <w:rPr>
                <w:sz w:val="18"/>
                <w:szCs w:val="18"/>
              </w:rPr>
            </w:pPr>
            <w:r>
              <w:rPr>
                <w:sz w:val="18"/>
                <w:szCs w:val="18"/>
              </w:rPr>
              <w:t>Simple regression; t-test</w:t>
            </w:r>
          </w:p>
        </w:tc>
      </w:tr>
      <w:tr w:rsidR="00056203" w14:paraId="696D6666" w14:textId="302F76AE" w:rsidTr="00056203">
        <w:trPr>
          <w:trHeight w:val="286"/>
        </w:trPr>
        <w:tc>
          <w:tcPr>
            <w:tcW w:w="1246" w:type="dxa"/>
            <w:vMerge/>
            <w:vAlign w:val="center"/>
          </w:tcPr>
          <w:p w14:paraId="1F76DCEB" w14:textId="77777777" w:rsidR="00056203" w:rsidRPr="00A42B3C" w:rsidRDefault="00056203" w:rsidP="00A42B3C">
            <w:pPr>
              <w:jc w:val="left"/>
              <w:rPr>
                <w:sz w:val="18"/>
                <w:szCs w:val="18"/>
              </w:rPr>
            </w:pPr>
          </w:p>
        </w:tc>
        <w:tc>
          <w:tcPr>
            <w:tcW w:w="757" w:type="dxa"/>
            <w:vMerge/>
            <w:shd w:val="clear" w:color="auto" w:fill="E7E6E6" w:themeFill="background2"/>
            <w:vAlign w:val="center"/>
          </w:tcPr>
          <w:p w14:paraId="2E05D80C" w14:textId="77777777" w:rsidR="00056203" w:rsidRPr="00A42B3C" w:rsidRDefault="00056203" w:rsidP="00A42B3C">
            <w:pPr>
              <w:jc w:val="left"/>
              <w:rPr>
                <w:sz w:val="18"/>
                <w:szCs w:val="18"/>
              </w:rPr>
            </w:pPr>
          </w:p>
        </w:tc>
        <w:tc>
          <w:tcPr>
            <w:tcW w:w="1350" w:type="dxa"/>
            <w:vMerge/>
            <w:vAlign w:val="center"/>
          </w:tcPr>
          <w:p w14:paraId="313E1270" w14:textId="77777777" w:rsidR="00056203" w:rsidRPr="00A42B3C" w:rsidRDefault="00056203" w:rsidP="00A42B3C">
            <w:pPr>
              <w:jc w:val="left"/>
              <w:rPr>
                <w:sz w:val="18"/>
                <w:szCs w:val="18"/>
              </w:rPr>
            </w:pPr>
          </w:p>
        </w:tc>
        <w:tc>
          <w:tcPr>
            <w:tcW w:w="357" w:type="dxa"/>
            <w:vMerge/>
            <w:shd w:val="clear" w:color="auto" w:fill="E7E6E6" w:themeFill="background2"/>
            <w:vAlign w:val="center"/>
          </w:tcPr>
          <w:p w14:paraId="35561081" w14:textId="77777777" w:rsidR="00056203" w:rsidRDefault="00056203" w:rsidP="00A42B3C">
            <w:pPr>
              <w:jc w:val="left"/>
              <w:rPr>
                <w:sz w:val="18"/>
                <w:szCs w:val="18"/>
              </w:rPr>
            </w:pPr>
          </w:p>
        </w:tc>
        <w:tc>
          <w:tcPr>
            <w:tcW w:w="1924" w:type="dxa"/>
            <w:vMerge/>
            <w:vAlign w:val="center"/>
          </w:tcPr>
          <w:p w14:paraId="41C3F915" w14:textId="77777777" w:rsidR="00056203" w:rsidRDefault="00056203" w:rsidP="00A42B3C">
            <w:pPr>
              <w:jc w:val="left"/>
              <w:rPr>
                <w:sz w:val="18"/>
                <w:szCs w:val="18"/>
              </w:rPr>
            </w:pPr>
          </w:p>
        </w:tc>
        <w:tc>
          <w:tcPr>
            <w:tcW w:w="426" w:type="dxa"/>
            <w:shd w:val="clear" w:color="auto" w:fill="E7E6E6" w:themeFill="background2"/>
          </w:tcPr>
          <w:p w14:paraId="16377AC4" w14:textId="70CAED34" w:rsidR="00056203" w:rsidRDefault="00056203" w:rsidP="00A42B3C">
            <w:pPr>
              <w:jc w:val="left"/>
              <w:rPr>
                <w:sz w:val="18"/>
                <w:szCs w:val="18"/>
              </w:rPr>
            </w:pPr>
            <w:r>
              <w:rPr>
                <w:sz w:val="18"/>
                <w:szCs w:val="18"/>
              </w:rPr>
              <w:t>&gt;1</w:t>
            </w:r>
          </w:p>
        </w:tc>
        <w:tc>
          <w:tcPr>
            <w:tcW w:w="2956" w:type="dxa"/>
            <w:gridSpan w:val="3"/>
            <w:shd w:val="clear" w:color="auto" w:fill="E2EFD9" w:themeFill="accent6" w:themeFillTint="33"/>
            <w:vAlign w:val="center"/>
          </w:tcPr>
          <w:p w14:paraId="27E8CD60" w14:textId="3791E412" w:rsidR="00056203" w:rsidRDefault="00056203" w:rsidP="00056203">
            <w:pPr>
              <w:jc w:val="right"/>
              <w:rPr>
                <w:sz w:val="18"/>
                <w:szCs w:val="18"/>
              </w:rPr>
            </w:pPr>
            <w:r>
              <w:rPr>
                <w:sz w:val="18"/>
                <w:szCs w:val="18"/>
              </w:rPr>
              <w:t>Multiple regression; f-test</w:t>
            </w:r>
          </w:p>
        </w:tc>
      </w:tr>
      <w:tr w:rsidR="00056203" w14:paraId="0BCE5944" w14:textId="291B9F63" w:rsidTr="00056203">
        <w:tc>
          <w:tcPr>
            <w:tcW w:w="1246" w:type="dxa"/>
            <w:vMerge/>
            <w:vAlign w:val="center"/>
          </w:tcPr>
          <w:p w14:paraId="49A9D2A9" w14:textId="77777777" w:rsidR="00056203" w:rsidRPr="00A42B3C" w:rsidRDefault="00056203" w:rsidP="00A42B3C">
            <w:pPr>
              <w:jc w:val="left"/>
              <w:rPr>
                <w:sz w:val="18"/>
                <w:szCs w:val="18"/>
              </w:rPr>
            </w:pPr>
          </w:p>
        </w:tc>
        <w:tc>
          <w:tcPr>
            <w:tcW w:w="757" w:type="dxa"/>
            <w:vMerge w:val="restart"/>
            <w:shd w:val="clear" w:color="auto" w:fill="E7E6E6" w:themeFill="background2"/>
            <w:vAlign w:val="center"/>
          </w:tcPr>
          <w:p w14:paraId="13037E0E" w14:textId="46C39949" w:rsidR="00056203" w:rsidRPr="00A42B3C" w:rsidRDefault="00056203" w:rsidP="00A42B3C">
            <w:pPr>
              <w:jc w:val="left"/>
              <w:rPr>
                <w:sz w:val="18"/>
                <w:szCs w:val="18"/>
              </w:rPr>
            </w:pPr>
            <w:r w:rsidRPr="00A42B3C">
              <w:rPr>
                <w:sz w:val="18"/>
                <w:szCs w:val="18"/>
              </w:rPr>
              <w:t>Quant.</w:t>
            </w:r>
          </w:p>
        </w:tc>
        <w:tc>
          <w:tcPr>
            <w:tcW w:w="1350" w:type="dxa"/>
            <w:vMerge w:val="restart"/>
            <w:vAlign w:val="center"/>
          </w:tcPr>
          <w:p w14:paraId="08079EB4" w14:textId="67C42E3D" w:rsidR="00056203" w:rsidRPr="00A42B3C" w:rsidRDefault="00056203" w:rsidP="00A42B3C">
            <w:pPr>
              <w:jc w:val="left"/>
              <w:rPr>
                <w:sz w:val="18"/>
                <w:szCs w:val="18"/>
              </w:rPr>
            </w:pPr>
            <w:r w:rsidRPr="00A42B3C">
              <w:rPr>
                <w:sz w:val="18"/>
                <w:szCs w:val="18"/>
              </w:rPr>
              <w:t>Is the dependent categorical or quantitative?</w:t>
            </w:r>
          </w:p>
        </w:tc>
        <w:tc>
          <w:tcPr>
            <w:tcW w:w="357" w:type="dxa"/>
            <w:shd w:val="clear" w:color="auto" w:fill="E7E6E6" w:themeFill="background2"/>
            <w:vAlign w:val="center"/>
          </w:tcPr>
          <w:p w14:paraId="27601B09" w14:textId="6670EDE4" w:rsidR="00056203" w:rsidRPr="00A42B3C" w:rsidRDefault="00056203" w:rsidP="00A42B3C">
            <w:pPr>
              <w:jc w:val="left"/>
              <w:rPr>
                <w:sz w:val="18"/>
                <w:szCs w:val="18"/>
              </w:rPr>
            </w:pPr>
            <w:r>
              <w:rPr>
                <w:sz w:val="18"/>
                <w:szCs w:val="18"/>
              </w:rPr>
              <w:t>C</w:t>
            </w:r>
          </w:p>
        </w:tc>
        <w:tc>
          <w:tcPr>
            <w:tcW w:w="5306" w:type="dxa"/>
            <w:gridSpan w:val="5"/>
            <w:shd w:val="clear" w:color="auto" w:fill="E2EFD9" w:themeFill="accent6" w:themeFillTint="33"/>
            <w:vAlign w:val="center"/>
          </w:tcPr>
          <w:p w14:paraId="23BE65B2" w14:textId="2C01AB1C" w:rsidR="00056203" w:rsidRDefault="00056203" w:rsidP="00056203">
            <w:pPr>
              <w:jc w:val="right"/>
              <w:rPr>
                <w:sz w:val="18"/>
                <w:szCs w:val="18"/>
              </w:rPr>
            </w:pPr>
            <w:r>
              <w:rPr>
                <w:sz w:val="18"/>
                <w:szCs w:val="18"/>
              </w:rPr>
              <w:t>Chi-squared</w:t>
            </w:r>
          </w:p>
        </w:tc>
      </w:tr>
      <w:tr w:rsidR="00056203" w14:paraId="121DCA02" w14:textId="5A501123" w:rsidTr="00056203">
        <w:trPr>
          <w:trHeight w:val="98"/>
        </w:trPr>
        <w:tc>
          <w:tcPr>
            <w:tcW w:w="1246" w:type="dxa"/>
            <w:vMerge/>
            <w:vAlign w:val="center"/>
          </w:tcPr>
          <w:p w14:paraId="0643300B" w14:textId="77777777" w:rsidR="00056203" w:rsidRPr="00A42B3C" w:rsidRDefault="00056203" w:rsidP="00A42B3C">
            <w:pPr>
              <w:jc w:val="left"/>
              <w:rPr>
                <w:sz w:val="18"/>
                <w:szCs w:val="18"/>
              </w:rPr>
            </w:pPr>
          </w:p>
        </w:tc>
        <w:tc>
          <w:tcPr>
            <w:tcW w:w="757" w:type="dxa"/>
            <w:vMerge/>
            <w:shd w:val="clear" w:color="auto" w:fill="E7E6E6" w:themeFill="background2"/>
            <w:vAlign w:val="center"/>
          </w:tcPr>
          <w:p w14:paraId="5A96BB29" w14:textId="77777777" w:rsidR="00056203" w:rsidRPr="00A42B3C" w:rsidRDefault="00056203" w:rsidP="00A42B3C">
            <w:pPr>
              <w:jc w:val="left"/>
              <w:rPr>
                <w:sz w:val="18"/>
                <w:szCs w:val="18"/>
              </w:rPr>
            </w:pPr>
          </w:p>
        </w:tc>
        <w:tc>
          <w:tcPr>
            <w:tcW w:w="1350" w:type="dxa"/>
            <w:vMerge/>
            <w:vAlign w:val="center"/>
          </w:tcPr>
          <w:p w14:paraId="6396F154" w14:textId="77777777" w:rsidR="00056203" w:rsidRPr="00A42B3C" w:rsidRDefault="00056203" w:rsidP="00A42B3C">
            <w:pPr>
              <w:jc w:val="left"/>
              <w:rPr>
                <w:sz w:val="18"/>
                <w:szCs w:val="18"/>
              </w:rPr>
            </w:pPr>
          </w:p>
        </w:tc>
        <w:tc>
          <w:tcPr>
            <w:tcW w:w="357" w:type="dxa"/>
            <w:vMerge w:val="restart"/>
            <w:shd w:val="clear" w:color="auto" w:fill="E7E6E6" w:themeFill="background2"/>
            <w:vAlign w:val="center"/>
          </w:tcPr>
          <w:p w14:paraId="30B510C3" w14:textId="1563424F" w:rsidR="00056203" w:rsidRPr="00A42B3C" w:rsidRDefault="00056203" w:rsidP="00A42B3C">
            <w:pPr>
              <w:jc w:val="left"/>
              <w:rPr>
                <w:sz w:val="18"/>
                <w:szCs w:val="18"/>
              </w:rPr>
            </w:pPr>
            <w:r>
              <w:rPr>
                <w:sz w:val="18"/>
                <w:szCs w:val="18"/>
              </w:rPr>
              <w:t>Q</w:t>
            </w:r>
          </w:p>
        </w:tc>
        <w:tc>
          <w:tcPr>
            <w:tcW w:w="1924" w:type="dxa"/>
            <w:vMerge w:val="restart"/>
            <w:vAlign w:val="center"/>
          </w:tcPr>
          <w:p w14:paraId="2D50DC3D" w14:textId="5CC8E11B" w:rsidR="00056203" w:rsidRPr="00A42B3C" w:rsidRDefault="00056203" w:rsidP="00A42B3C">
            <w:pPr>
              <w:jc w:val="left"/>
              <w:rPr>
                <w:sz w:val="18"/>
                <w:szCs w:val="18"/>
              </w:rPr>
            </w:pPr>
            <w:r>
              <w:rPr>
                <w:sz w:val="18"/>
                <w:szCs w:val="18"/>
              </w:rPr>
              <w:t>How many groups are being compared?</w:t>
            </w:r>
          </w:p>
        </w:tc>
        <w:tc>
          <w:tcPr>
            <w:tcW w:w="426" w:type="dxa"/>
            <w:vMerge w:val="restart"/>
            <w:shd w:val="clear" w:color="auto" w:fill="E7E6E6" w:themeFill="background2"/>
          </w:tcPr>
          <w:p w14:paraId="183B20C3" w14:textId="2495CF5F" w:rsidR="00056203" w:rsidRPr="00A42B3C" w:rsidRDefault="00056203" w:rsidP="00A42B3C">
            <w:pPr>
              <w:jc w:val="left"/>
              <w:rPr>
                <w:sz w:val="18"/>
                <w:szCs w:val="18"/>
              </w:rPr>
            </w:pPr>
            <w:r>
              <w:rPr>
                <w:sz w:val="18"/>
                <w:szCs w:val="18"/>
              </w:rPr>
              <w:t>2</w:t>
            </w:r>
          </w:p>
        </w:tc>
        <w:tc>
          <w:tcPr>
            <w:tcW w:w="1027" w:type="dxa"/>
            <w:vMerge w:val="restart"/>
          </w:tcPr>
          <w:p w14:paraId="47636980" w14:textId="38C7D9F1" w:rsidR="00056203" w:rsidRPr="00A42B3C" w:rsidRDefault="00056203" w:rsidP="00A42B3C">
            <w:pPr>
              <w:jc w:val="left"/>
              <w:rPr>
                <w:sz w:val="18"/>
                <w:szCs w:val="18"/>
              </w:rPr>
            </w:pPr>
            <w:r>
              <w:rPr>
                <w:sz w:val="18"/>
                <w:szCs w:val="18"/>
              </w:rPr>
              <w:t>Are the standard deviations similar?</w:t>
            </w:r>
          </w:p>
        </w:tc>
        <w:tc>
          <w:tcPr>
            <w:tcW w:w="742" w:type="dxa"/>
            <w:shd w:val="clear" w:color="auto" w:fill="E7E6E6" w:themeFill="background2"/>
          </w:tcPr>
          <w:p w14:paraId="70DFCFA2" w14:textId="2348D4A2" w:rsidR="00056203" w:rsidRPr="00A42B3C" w:rsidRDefault="00056203" w:rsidP="00A42B3C">
            <w:pPr>
              <w:jc w:val="left"/>
              <w:rPr>
                <w:sz w:val="18"/>
                <w:szCs w:val="18"/>
              </w:rPr>
            </w:pPr>
            <w:r>
              <w:rPr>
                <w:sz w:val="18"/>
                <w:szCs w:val="18"/>
              </w:rPr>
              <w:t>Y</w:t>
            </w:r>
          </w:p>
        </w:tc>
        <w:tc>
          <w:tcPr>
            <w:tcW w:w="1187" w:type="dxa"/>
            <w:shd w:val="clear" w:color="auto" w:fill="E2EFD9" w:themeFill="accent6" w:themeFillTint="33"/>
            <w:vAlign w:val="center"/>
          </w:tcPr>
          <w:p w14:paraId="4CAE63C0" w14:textId="45B7B584" w:rsidR="00056203" w:rsidRPr="00A42B3C" w:rsidRDefault="00056203" w:rsidP="00056203">
            <w:pPr>
              <w:jc w:val="left"/>
              <w:rPr>
                <w:sz w:val="18"/>
                <w:szCs w:val="18"/>
              </w:rPr>
            </w:pPr>
            <w:r>
              <w:rPr>
                <w:sz w:val="18"/>
                <w:szCs w:val="18"/>
              </w:rPr>
              <w:t>Comparison t-test</w:t>
            </w:r>
          </w:p>
        </w:tc>
      </w:tr>
      <w:tr w:rsidR="00056203" w14:paraId="0E38AB3B" w14:textId="59359623" w:rsidTr="00056203">
        <w:trPr>
          <w:trHeight w:val="98"/>
        </w:trPr>
        <w:tc>
          <w:tcPr>
            <w:tcW w:w="1246" w:type="dxa"/>
            <w:vMerge/>
            <w:vAlign w:val="center"/>
          </w:tcPr>
          <w:p w14:paraId="285D3C32" w14:textId="77777777" w:rsidR="00056203" w:rsidRPr="00A42B3C" w:rsidRDefault="00056203" w:rsidP="00A42B3C">
            <w:pPr>
              <w:jc w:val="left"/>
              <w:rPr>
                <w:sz w:val="18"/>
                <w:szCs w:val="18"/>
              </w:rPr>
            </w:pPr>
          </w:p>
        </w:tc>
        <w:tc>
          <w:tcPr>
            <w:tcW w:w="757" w:type="dxa"/>
            <w:vMerge/>
            <w:shd w:val="clear" w:color="auto" w:fill="E7E6E6" w:themeFill="background2"/>
            <w:vAlign w:val="center"/>
          </w:tcPr>
          <w:p w14:paraId="1BDB0C2E" w14:textId="77777777" w:rsidR="00056203" w:rsidRPr="00A42B3C" w:rsidRDefault="00056203" w:rsidP="00A42B3C">
            <w:pPr>
              <w:jc w:val="left"/>
              <w:rPr>
                <w:sz w:val="18"/>
                <w:szCs w:val="18"/>
              </w:rPr>
            </w:pPr>
          </w:p>
        </w:tc>
        <w:tc>
          <w:tcPr>
            <w:tcW w:w="1350" w:type="dxa"/>
            <w:vMerge/>
            <w:vAlign w:val="center"/>
          </w:tcPr>
          <w:p w14:paraId="3D6EF529" w14:textId="77777777" w:rsidR="00056203" w:rsidRPr="00A42B3C" w:rsidRDefault="00056203" w:rsidP="00A42B3C">
            <w:pPr>
              <w:jc w:val="left"/>
              <w:rPr>
                <w:sz w:val="18"/>
                <w:szCs w:val="18"/>
              </w:rPr>
            </w:pPr>
          </w:p>
        </w:tc>
        <w:tc>
          <w:tcPr>
            <w:tcW w:w="357" w:type="dxa"/>
            <w:vMerge/>
            <w:shd w:val="clear" w:color="auto" w:fill="E7E6E6" w:themeFill="background2"/>
            <w:vAlign w:val="center"/>
          </w:tcPr>
          <w:p w14:paraId="64C0056D" w14:textId="77777777" w:rsidR="00056203" w:rsidRDefault="00056203" w:rsidP="00A42B3C">
            <w:pPr>
              <w:jc w:val="left"/>
              <w:rPr>
                <w:sz w:val="18"/>
                <w:szCs w:val="18"/>
              </w:rPr>
            </w:pPr>
          </w:p>
        </w:tc>
        <w:tc>
          <w:tcPr>
            <w:tcW w:w="1924" w:type="dxa"/>
            <w:vMerge/>
            <w:vAlign w:val="center"/>
          </w:tcPr>
          <w:p w14:paraId="359D1724" w14:textId="77777777" w:rsidR="00056203" w:rsidRDefault="00056203" w:rsidP="00A42B3C">
            <w:pPr>
              <w:jc w:val="left"/>
              <w:rPr>
                <w:sz w:val="18"/>
                <w:szCs w:val="18"/>
              </w:rPr>
            </w:pPr>
          </w:p>
        </w:tc>
        <w:tc>
          <w:tcPr>
            <w:tcW w:w="426" w:type="dxa"/>
            <w:vMerge/>
            <w:shd w:val="clear" w:color="auto" w:fill="E7E6E6" w:themeFill="background2"/>
          </w:tcPr>
          <w:p w14:paraId="668D932C" w14:textId="77777777" w:rsidR="00056203" w:rsidRDefault="00056203" w:rsidP="00A42B3C">
            <w:pPr>
              <w:jc w:val="left"/>
              <w:rPr>
                <w:sz w:val="18"/>
                <w:szCs w:val="18"/>
              </w:rPr>
            </w:pPr>
          </w:p>
        </w:tc>
        <w:tc>
          <w:tcPr>
            <w:tcW w:w="1027" w:type="dxa"/>
            <w:vMerge/>
          </w:tcPr>
          <w:p w14:paraId="6053E9AE" w14:textId="77777777" w:rsidR="00056203" w:rsidRPr="00A42B3C" w:rsidRDefault="00056203" w:rsidP="00A42B3C">
            <w:pPr>
              <w:jc w:val="left"/>
              <w:rPr>
                <w:sz w:val="18"/>
                <w:szCs w:val="18"/>
              </w:rPr>
            </w:pPr>
          </w:p>
        </w:tc>
        <w:tc>
          <w:tcPr>
            <w:tcW w:w="742" w:type="dxa"/>
            <w:shd w:val="clear" w:color="auto" w:fill="E7E6E6" w:themeFill="background2"/>
          </w:tcPr>
          <w:p w14:paraId="49A81FC0" w14:textId="3C121B40" w:rsidR="00056203" w:rsidRPr="00A42B3C" w:rsidRDefault="00056203" w:rsidP="00A42B3C">
            <w:pPr>
              <w:jc w:val="left"/>
              <w:rPr>
                <w:sz w:val="18"/>
                <w:szCs w:val="18"/>
              </w:rPr>
            </w:pPr>
            <w:r>
              <w:rPr>
                <w:sz w:val="18"/>
                <w:szCs w:val="18"/>
              </w:rPr>
              <w:t>N</w:t>
            </w:r>
          </w:p>
        </w:tc>
        <w:tc>
          <w:tcPr>
            <w:tcW w:w="1187" w:type="dxa"/>
            <w:shd w:val="clear" w:color="auto" w:fill="E2EFD9" w:themeFill="accent6" w:themeFillTint="33"/>
          </w:tcPr>
          <w:p w14:paraId="77CDB14D" w14:textId="220FCF91" w:rsidR="00056203" w:rsidRPr="00A42B3C" w:rsidRDefault="00056203" w:rsidP="00A42B3C">
            <w:pPr>
              <w:jc w:val="left"/>
              <w:rPr>
                <w:sz w:val="18"/>
                <w:szCs w:val="18"/>
              </w:rPr>
            </w:pPr>
            <w:r>
              <w:rPr>
                <w:sz w:val="18"/>
                <w:szCs w:val="18"/>
              </w:rPr>
              <w:t>Welch’s test</w:t>
            </w:r>
          </w:p>
        </w:tc>
      </w:tr>
      <w:tr w:rsidR="00056203" w14:paraId="39BBF3B9" w14:textId="2917C917" w:rsidTr="00056203">
        <w:tc>
          <w:tcPr>
            <w:tcW w:w="1246" w:type="dxa"/>
            <w:vMerge/>
            <w:vAlign w:val="center"/>
          </w:tcPr>
          <w:p w14:paraId="248A4765" w14:textId="77777777" w:rsidR="00056203" w:rsidRPr="00A42B3C" w:rsidRDefault="00056203" w:rsidP="00A42B3C">
            <w:pPr>
              <w:jc w:val="left"/>
              <w:rPr>
                <w:sz w:val="18"/>
                <w:szCs w:val="18"/>
              </w:rPr>
            </w:pPr>
          </w:p>
        </w:tc>
        <w:tc>
          <w:tcPr>
            <w:tcW w:w="757" w:type="dxa"/>
            <w:vMerge/>
            <w:shd w:val="clear" w:color="auto" w:fill="E7E6E6" w:themeFill="background2"/>
            <w:vAlign w:val="center"/>
          </w:tcPr>
          <w:p w14:paraId="67E1B1CD" w14:textId="77777777" w:rsidR="00056203" w:rsidRPr="00A42B3C" w:rsidRDefault="00056203" w:rsidP="00A42B3C">
            <w:pPr>
              <w:jc w:val="left"/>
              <w:rPr>
                <w:sz w:val="18"/>
                <w:szCs w:val="18"/>
              </w:rPr>
            </w:pPr>
          </w:p>
        </w:tc>
        <w:tc>
          <w:tcPr>
            <w:tcW w:w="1350" w:type="dxa"/>
            <w:vMerge/>
            <w:vAlign w:val="center"/>
          </w:tcPr>
          <w:p w14:paraId="586EE395" w14:textId="77777777" w:rsidR="00056203" w:rsidRPr="00A42B3C" w:rsidRDefault="00056203" w:rsidP="00A42B3C">
            <w:pPr>
              <w:jc w:val="left"/>
              <w:rPr>
                <w:sz w:val="18"/>
                <w:szCs w:val="18"/>
              </w:rPr>
            </w:pPr>
          </w:p>
        </w:tc>
        <w:tc>
          <w:tcPr>
            <w:tcW w:w="357" w:type="dxa"/>
            <w:vMerge/>
            <w:shd w:val="clear" w:color="auto" w:fill="E7E6E6" w:themeFill="background2"/>
            <w:vAlign w:val="center"/>
          </w:tcPr>
          <w:p w14:paraId="311DAA5D" w14:textId="77777777" w:rsidR="00056203" w:rsidRPr="00A42B3C" w:rsidRDefault="00056203" w:rsidP="00A42B3C">
            <w:pPr>
              <w:jc w:val="left"/>
              <w:rPr>
                <w:sz w:val="18"/>
                <w:szCs w:val="18"/>
              </w:rPr>
            </w:pPr>
          </w:p>
        </w:tc>
        <w:tc>
          <w:tcPr>
            <w:tcW w:w="1924" w:type="dxa"/>
            <w:vMerge/>
            <w:vAlign w:val="center"/>
          </w:tcPr>
          <w:p w14:paraId="5A1D8674" w14:textId="77777777" w:rsidR="00056203" w:rsidRPr="00A42B3C" w:rsidRDefault="00056203" w:rsidP="00A42B3C">
            <w:pPr>
              <w:jc w:val="left"/>
              <w:rPr>
                <w:sz w:val="18"/>
                <w:szCs w:val="18"/>
              </w:rPr>
            </w:pPr>
          </w:p>
        </w:tc>
        <w:tc>
          <w:tcPr>
            <w:tcW w:w="426" w:type="dxa"/>
            <w:shd w:val="clear" w:color="auto" w:fill="E7E6E6" w:themeFill="background2"/>
          </w:tcPr>
          <w:p w14:paraId="4078E4D0" w14:textId="38B42C67" w:rsidR="00056203" w:rsidRPr="00A42B3C" w:rsidRDefault="00056203" w:rsidP="00A42B3C">
            <w:pPr>
              <w:jc w:val="left"/>
              <w:rPr>
                <w:sz w:val="18"/>
                <w:szCs w:val="18"/>
              </w:rPr>
            </w:pPr>
            <w:r>
              <w:rPr>
                <w:sz w:val="18"/>
                <w:szCs w:val="18"/>
              </w:rPr>
              <w:t>&gt;2</w:t>
            </w:r>
          </w:p>
        </w:tc>
        <w:tc>
          <w:tcPr>
            <w:tcW w:w="2956" w:type="dxa"/>
            <w:gridSpan w:val="3"/>
            <w:shd w:val="clear" w:color="auto" w:fill="E2EFD9" w:themeFill="accent6" w:themeFillTint="33"/>
            <w:vAlign w:val="center"/>
          </w:tcPr>
          <w:p w14:paraId="108A4369" w14:textId="35C8A95F" w:rsidR="00056203" w:rsidRDefault="00056203" w:rsidP="00056203">
            <w:pPr>
              <w:jc w:val="right"/>
              <w:rPr>
                <w:sz w:val="18"/>
                <w:szCs w:val="18"/>
              </w:rPr>
            </w:pPr>
            <w:r>
              <w:rPr>
                <w:sz w:val="18"/>
                <w:szCs w:val="18"/>
              </w:rPr>
              <w:t>ANOVA or MANOVA</w:t>
            </w:r>
          </w:p>
        </w:tc>
      </w:tr>
    </w:tbl>
    <w:p w14:paraId="32C7CA48" w14:textId="77777777" w:rsidR="00A42B3C" w:rsidRPr="000661A5" w:rsidRDefault="00A42B3C" w:rsidP="000661A5"/>
    <w:sectPr w:rsidR="00A42B3C" w:rsidRPr="0006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1"/>
  </w:num>
  <w:num w:numId="2" w16cid:durableId="721709414">
    <w:abstractNumId w:val="2"/>
  </w:num>
  <w:num w:numId="3" w16cid:durableId="1819571016">
    <w:abstractNumId w:val="8"/>
  </w:num>
  <w:num w:numId="4" w16cid:durableId="495920517">
    <w:abstractNumId w:val="0"/>
  </w:num>
  <w:num w:numId="5" w16cid:durableId="1691027586">
    <w:abstractNumId w:val="4"/>
  </w:num>
  <w:num w:numId="6" w16cid:durableId="1115101120">
    <w:abstractNumId w:val="6"/>
  </w:num>
  <w:num w:numId="7" w16cid:durableId="2059545312">
    <w:abstractNumId w:val="5"/>
  </w:num>
  <w:num w:numId="8" w16cid:durableId="1826318471">
    <w:abstractNumId w:val="7"/>
  </w:num>
  <w:num w:numId="9" w16cid:durableId="1691641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4845"/>
    <w:rsid w:val="00056203"/>
    <w:rsid w:val="000661A5"/>
    <w:rsid w:val="00091673"/>
    <w:rsid w:val="000933C8"/>
    <w:rsid w:val="000B2E87"/>
    <w:rsid w:val="000F5982"/>
    <w:rsid w:val="001750F5"/>
    <w:rsid w:val="002049FD"/>
    <w:rsid w:val="0037614E"/>
    <w:rsid w:val="00376FC0"/>
    <w:rsid w:val="003D2CB2"/>
    <w:rsid w:val="00416CFA"/>
    <w:rsid w:val="00630AE6"/>
    <w:rsid w:val="0064375C"/>
    <w:rsid w:val="007F790C"/>
    <w:rsid w:val="00866C21"/>
    <w:rsid w:val="00977597"/>
    <w:rsid w:val="00A42B3C"/>
    <w:rsid w:val="00AD5AAD"/>
    <w:rsid w:val="00B22899"/>
    <w:rsid w:val="00B32147"/>
    <w:rsid w:val="00B52465"/>
    <w:rsid w:val="00BF0799"/>
    <w:rsid w:val="00C27676"/>
    <w:rsid w:val="00C53627"/>
    <w:rsid w:val="00C67A65"/>
    <w:rsid w:val="00E5621E"/>
    <w:rsid w:val="00EA53B2"/>
    <w:rsid w:val="00F15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76"/>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2767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2767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semiHidden/>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statistics/national-flu-and-covid-19-surveillance-reports-2022-to-2023-sea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dc.europa.eu/en/publications-data/data-monkeypox-cases-euee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97/QAI.0000000000002047" TargetMode="External"/><Relationship Id="rId11" Type="http://schemas.openxmlformats.org/officeDocument/2006/relationships/hyperlink" Target="https://www.gov.uk/government/statistics/local-authority-revenue-expenditure-and-financing-england-2020-to-2021-budget-individual-local-authority-data" TargetMode="External"/><Relationship Id="rId5" Type="http://schemas.openxmlformats.org/officeDocument/2006/relationships/webSettings" Target="webSettings.xml"/><Relationship Id="rId10" Type="http://schemas.openxmlformats.org/officeDocument/2006/relationships/hyperlink" Target="https://www.gov.uk/government/statistics/hiv-annual-data-tables" TargetMode="External"/><Relationship Id="rId4" Type="http://schemas.openxmlformats.org/officeDocument/2006/relationships/settings" Target="settings.xml"/><Relationship Id="rId9" Type="http://schemas.openxmlformats.org/officeDocument/2006/relationships/hyperlink" Target="https://www.abs.gov.au/statistics/people/crime-and-justice/prisoners-australia/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13</cp:revision>
  <dcterms:created xsi:type="dcterms:W3CDTF">2022-12-03T11:36:00Z</dcterms:created>
  <dcterms:modified xsi:type="dcterms:W3CDTF">2022-12-05T17:08:00Z</dcterms:modified>
</cp:coreProperties>
</file>