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034A1" w14:textId="18ED02B0" w:rsidR="00376FC0" w:rsidRDefault="00C27676" w:rsidP="00C27676">
      <w:pPr>
        <w:pStyle w:val="Heading1"/>
      </w:pPr>
      <w:r>
        <w:t xml:space="preserve">CASA0007 </w:t>
      </w:r>
      <w:r w:rsidR="00495C82">
        <w:t>WRITTEN INVESTIGATION</w:t>
      </w:r>
    </w:p>
    <w:p w14:paraId="247027F2" w14:textId="6BF17A9D" w:rsidR="00C27676" w:rsidRDefault="00C27676" w:rsidP="00C27676"/>
    <w:p w14:paraId="32C7CA48" w14:textId="4E9D3998" w:rsidR="00A42B3C" w:rsidRDefault="00C27676" w:rsidP="000661A5">
      <w:r>
        <w:t>Student Number: 22186878</w:t>
      </w:r>
    </w:p>
    <w:p w14:paraId="00B7619A" w14:textId="77777777" w:rsidR="00495C82" w:rsidRDefault="00495C82" w:rsidP="000661A5"/>
    <w:p w14:paraId="4C164248" w14:textId="12C17D32" w:rsidR="002B3A74" w:rsidRDefault="002B3A74" w:rsidP="002B3A74">
      <w:pPr>
        <w:pStyle w:val="Heading3"/>
      </w:pPr>
      <w:r>
        <w:t>Introduction &amp; Background (400 words)</w:t>
      </w:r>
    </w:p>
    <w:p w14:paraId="0F17B39D" w14:textId="1B5237EC" w:rsidR="002B3A74" w:rsidRDefault="002B3A74" w:rsidP="002B3A74"/>
    <w:p w14:paraId="14D2B79F" w14:textId="500976E9" w:rsidR="001827B8" w:rsidRDefault="00E73F17" w:rsidP="002B3A74">
      <w:r w:rsidRPr="00E73F17">
        <w:t xml:space="preserve">In 2019, Public Health England (PHE), an executive agency of the </w:t>
      </w:r>
      <w:r>
        <w:t>UK</w:t>
      </w:r>
      <w:r w:rsidRPr="00E73F17">
        <w:t xml:space="preserve"> Department of Health and Social Care, released a </w:t>
      </w:r>
      <w:r w:rsidR="00A83FF7">
        <w:t>pathway report</w:t>
      </w:r>
      <w:r w:rsidRPr="00E73F17">
        <w:t xml:space="preserve"> </w:t>
      </w:r>
      <w:r w:rsidR="008655CA">
        <w:t>towards</w:t>
      </w:r>
      <w:r w:rsidRPr="00E73F17">
        <w:t xml:space="preserve"> zero HIV transmission in the UK by 2030. A key part of this strategy is the implementation of HIV Pre-Exposure Prophylaxis (PrEP) among communities at high-risk of HIV infection</w:t>
      </w:r>
      <w:r w:rsidR="008655CA">
        <w:t xml:space="preserve">, including </w:t>
      </w:r>
      <w:r w:rsidR="008655CA">
        <w:t>men who have sex with men (MSM)</w:t>
      </w:r>
      <w:r w:rsidR="00A83FF7">
        <w:t>, Black African heterosexuals, and people who inject drugs (PWID) (</w:t>
      </w:r>
      <w:r w:rsidR="00A83FF7" w:rsidRPr="00A83FF7">
        <w:rPr>
          <w:color w:val="4472C4" w:themeColor="accent1"/>
        </w:rPr>
        <w:t>@phe-framework</w:t>
      </w:r>
      <w:r w:rsidR="00A83FF7">
        <w:t>)</w:t>
      </w:r>
      <w:r w:rsidRPr="00E73F17">
        <w:t xml:space="preserve">. HIV PrEP is a combination medication that </w:t>
      </w:r>
      <w:r w:rsidR="00720FEC">
        <w:t>is highly effective at preventing HIV infection</w:t>
      </w:r>
      <w:r w:rsidR="00F854BB">
        <w:t xml:space="preserve"> when taken daily or on an event-based regimen</w:t>
      </w:r>
      <w:r w:rsidR="00A83FF7">
        <w:t xml:space="preserve"> (</w:t>
      </w:r>
      <w:r w:rsidR="00A83FF7" w:rsidRPr="00A83FF7">
        <w:rPr>
          <w:color w:val="4472C4" w:themeColor="accent1"/>
        </w:rPr>
        <w:t>@molina2017-efficacy</w:t>
      </w:r>
      <w:r w:rsidR="00A83FF7">
        <w:t>)</w:t>
      </w:r>
      <w:r w:rsidRPr="00E73F17">
        <w:t xml:space="preserve">. The medication was made available nationwide as a </w:t>
      </w:r>
      <w:r w:rsidR="008655CA" w:rsidRPr="00E73F17">
        <w:t>publicly funded</w:t>
      </w:r>
      <w:r w:rsidRPr="00E73F17">
        <w:t xml:space="preserve"> pharmaceutical through the NHS on October 1st</w:t>
      </w:r>
      <w:proofErr w:type="gramStart"/>
      <w:r w:rsidRPr="00E73F17">
        <w:t xml:space="preserve"> 2020</w:t>
      </w:r>
      <w:proofErr w:type="gramEnd"/>
      <w:r w:rsidRPr="00E73F17">
        <w:t xml:space="preserve"> (</w:t>
      </w:r>
      <w:r w:rsidR="00495C82" w:rsidRPr="00495C82">
        <w:rPr>
          <w:color w:val="0070C0"/>
        </w:rPr>
        <w:t>@ukhealth-nhsstatement</w:t>
      </w:r>
      <w:r w:rsidRPr="00E73F17">
        <w:t>)</w:t>
      </w:r>
      <w:r w:rsidR="00A83FF7">
        <w:t>, following a trial period</w:t>
      </w:r>
      <w:r w:rsidR="00BD7621">
        <w:t xml:space="preserve"> (the PROUD pilot study, and subsequent PrEP Impact trial) that predominantly served MSM in London and other large urban centres (</w:t>
      </w:r>
      <w:r w:rsidR="00BD7621" w:rsidRPr="00BD7621">
        <w:rPr>
          <w:color w:val="4472C4" w:themeColor="accent1"/>
        </w:rPr>
        <w:t>@lancethiv2017</w:t>
      </w:r>
      <w:r w:rsidR="00BD7621">
        <w:t>)</w:t>
      </w:r>
      <w:r w:rsidRPr="00E73F17">
        <w:t>.</w:t>
      </w:r>
    </w:p>
    <w:p w14:paraId="0EAAC4E8" w14:textId="029FC599" w:rsidR="00BD7621" w:rsidRDefault="00BD7621" w:rsidP="002B3A74">
      <w:r>
        <w:t>Spatial disparit</w:t>
      </w:r>
      <w:r w:rsidR="00F854BB">
        <w:t>y</w:t>
      </w:r>
      <w:r>
        <w:t xml:space="preserve"> in PrEP access, particularly between urban and rural areas, has been well documented</w:t>
      </w:r>
      <w:r w:rsidR="000D339B">
        <w:t xml:space="preserve">. </w:t>
      </w:r>
      <w:r>
        <w:t xml:space="preserve">However, most </w:t>
      </w:r>
      <w:r w:rsidR="00591FCA">
        <w:t>contemporary studies on spatial accessibility of PrEP have been conducted in the US</w:t>
      </w:r>
      <w:r w:rsidR="000D339B">
        <w:t xml:space="preserve"> (</w:t>
      </w:r>
      <w:r w:rsidR="000D339B">
        <w:rPr>
          <w:color w:val="4472C4" w:themeColor="accent1"/>
        </w:rPr>
        <w:t>@rossiter2021-urbanicity</w:t>
      </w:r>
      <w:r w:rsidR="000D339B">
        <w:t>)</w:t>
      </w:r>
      <w:r w:rsidR="00591FCA">
        <w:t>,</w:t>
      </w:r>
      <w:r w:rsidR="004619B3">
        <w:t xml:space="preserve"> Australia</w:t>
      </w:r>
      <w:r w:rsidR="000D339B">
        <w:t xml:space="preserve"> (</w:t>
      </w:r>
      <w:r w:rsidR="000D339B" w:rsidRPr="000D339B">
        <w:rPr>
          <w:color w:val="4472C4" w:themeColor="accent1"/>
        </w:rPr>
        <w:t>@hammoud2019-aus</w:t>
      </w:r>
      <w:r w:rsidR="000D339B">
        <w:t>)</w:t>
      </w:r>
      <w:r w:rsidR="004619B3">
        <w:t>, and Europe</w:t>
      </w:r>
      <w:r w:rsidR="000D339B">
        <w:t xml:space="preserve"> (</w:t>
      </w:r>
      <w:r w:rsidR="000D339B">
        <w:rPr>
          <w:color w:val="4472C4" w:themeColor="accent1"/>
        </w:rPr>
        <w:t>@wang2022-netherlands</w:t>
      </w:r>
      <w:r w:rsidR="000D339B">
        <w:t>)</w:t>
      </w:r>
      <w:r w:rsidR="004619B3">
        <w:t>,</w:t>
      </w:r>
      <w:r w:rsidR="00591FCA">
        <w:t xml:space="preserve"> and there is a notable scarcity of English research explicitly addressing the urban-rural dimension. This is despite a </w:t>
      </w:r>
      <w:r>
        <w:t xml:space="preserve">2017 editorial in </w:t>
      </w:r>
      <w:r>
        <w:rPr>
          <w:i/>
          <w:iCs/>
        </w:rPr>
        <w:t>the Lancet HIV</w:t>
      </w:r>
      <w:r>
        <w:t xml:space="preserve"> call</w:t>
      </w:r>
      <w:r w:rsidR="00591FCA">
        <w:t>ing</w:t>
      </w:r>
      <w:r>
        <w:t xml:space="preserve"> for </w:t>
      </w:r>
      <w:r w:rsidR="00591FCA">
        <w:t>greater understanding and consideration of geographical inequalities faced by those at risk of HIV in the UK (</w:t>
      </w:r>
      <w:r w:rsidR="00591FCA" w:rsidRPr="00BD7621">
        <w:rPr>
          <w:color w:val="4472C4" w:themeColor="accent1"/>
        </w:rPr>
        <w:t>@lancethiv2017</w:t>
      </w:r>
      <w:r w:rsidR="00591FCA">
        <w:t>).</w:t>
      </w:r>
    </w:p>
    <w:p w14:paraId="12692593" w14:textId="0BF5BF00" w:rsidR="004619B3" w:rsidRDefault="000D339B" w:rsidP="002B3A74">
      <w:r>
        <w:t xml:space="preserve">Additionally, </w:t>
      </w:r>
      <w:r w:rsidR="00C47771">
        <w:t xml:space="preserve">likely </w:t>
      </w:r>
      <w:r>
        <w:t>because of the relatively recent introduction of PrEP</w:t>
      </w:r>
      <w:r w:rsidR="00C47771">
        <w:t xml:space="preserve"> in countries where it has been made publicly available</w:t>
      </w:r>
      <w:r>
        <w:t xml:space="preserve">, there is a </w:t>
      </w:r>
      <w:r w:rsidR="00C47771">
        <w:t xml:space="preserve">lack of population-wide studies utilising higher-scale administrative and census data. Previous research on PrEP access and uptake in the UK has predominantly been limited to </w:t>
      </w:r>
      <w:r w:rsidR="00B95F99">
        <w:t>surveys and small-sample qualitative studies. The publication of the first nationwide PrEP indicator data from the UK Health Security Agency (UKHSA) in 2022</w:t>
      </w:r>
      <w:r w:rsidR="00341784">
        <w:t xml:space="preserve"> </w:t>
      </w:r>
      <w:r w:rsidR="00F854BB">
        <w:t xml:space="preserve">makes it possible to investigate measures of PrEP access and need across England, and their relation to demographic and socioeconomic characteristics of populations. </w:t>
      </w:r>
    </w:p>
    <w:p w14:paraId="45F00364" w14:textId="1B28E101" w:rsidR="004619B3" w:rsidRDefault="00F854BB" w:rsidP="002B3A74">
      <w:r>
        <w:t>The most common factors identified in international studies of urban-regional differences in PrEP access include accessibility to sexual health services and HIV specialists, stigma associated with taking PrEP</w:t>
      </w:r>
      <w:r w:rsidR="005F6076">
        <w:t xml:space="preserve"> (including stigma against MSM, transgender, and PWID communities)</w:t>
      </w:r>
      <w:r>
        <w:t>,</w:t>
      </w:r>
      <w:r w:rsidR="005F6076">
        <w:t xml:space="preserve"> HIV literacy, and general education level (</w:t>
      </w:r>
      <w:r w:rsidR="005F6076" w:rsidRPr="005F6076">
        <w:rPr>
          <w:color w:val="4472C4" w:themeColor="accent1"/>
        </w:rPr>
        <w:t>@mwaturura2021-barriers</w:t>
      </w:r>
      <w:r w:rsidR="005F6076">
        <w:t xml:space="preserve">, </w:t>
      </w:r>
      <w:r w:rsidR="005F6076" w:rsidRPr="005F6076">
        <w:rPr>
          <w:color w:val="4472C4" w:themeColor="accent1"/>
        </w:rPr>
        <w:t>@rossiter2021-urbanicity</w:t>
      </w:r>
      <w:r w:rsidR="005F6076">
        <w:t xml:space="preserve">, </w:t>
      </w:r>
      <w:r w:rsidR="005F6076" w:rsidRPr="005F6076">
        <w:rPr>
          <w:color w:val="4472C4" w:themeColor="accent1"/>
        </w:rPr>
        <w:t>@wang2022-netherlands</w:t>
      </w:r>
      <w:r w:rsidR="005F6076">
        <w:t xml:space="preserve">). Populations at higher risk of HIV also </w:t>
      </w:r>
      <w:r w:rsidR="002C7B3B">
        <w:t>tend to concentrate</w:t>
      </w:r>
      <w:r w:rsidR="005F6076">
        <w:t xml:space="preserve"> in urban areas, </w:t>
      </w:r>
      <w:r w:rsidR="002C7B3B">
        <w:t>and consequently healthcare workers in urban areas report greater HIV literacy and are more comfortable implementing PrEP clinical activities (</w:t>
      </w:r>
      <w:r w:rsidR="002C7B3B" w:rsidRPr="0037642D">
        <w:rPr>
          <w:color w:val="0070C0"/>
        </w:rPr>
        <w:t>@owens2022-gp</w:t>
      </w:r>
      <w:r w:rsidR="002C7B3B">
        <w:rPr>
          <w:color w:val="0070C0"/>
        </w:rPr>
        <w:t>s</w:t>
      </w:r>
      <w:r w:rsidR="002C7B3B">
        <w:t>).</w:t>
      </w:r>
    </w:p>
    <w:p w14:paraId="0A4C93FF" w14:textId="2F79AB14" w:rsidR="002C7B3B" w:rsidRPr="00BD7621" w:rsidRDefault="002C7B3B" w:rsidP="002B3A74">
      <w:r>
        <w:t>[Add point on SHSs outside London less likely to offer HIV tests to eligible patients (81% compared with 88%) (</w:t>
      </w:r>
      <w:r w:rsidRPr="002C7B3B">
        <w:rPr>
          <w:color w:val="4472C4" w:themeColor="accent1"/>
        </w:rPr>
        <w:t>@phe-framework</w:t>
      </w:r>
      <w:r>
        <w:t>)]</w:t>
      </w:r>
    </w:p>
    <w:p w14:paraId="2E9643BD" w14:textId="77777777" w:rsidR="002B3A74" w:rsidRPr="002B3A74" w:rsidRDefault="002B3A74" w:rsidP="002B3A74"/>
    <w:p w14:paraId="59E4D9BD" w14:textId="4BD3ADFF" w:rsidR="002B3A74" w:rsidRDefault="002B3A74" w:rsidP="002B3A74">
      <w:pPr>
        <w:pStyle w:val="Heading3"/>
      </w:pPr>
      <w:r>
        <w:t>Research Question (100 words)</w:t>
      </w:r>
    </w:p>
    <w:p w14:paraId="12C6E343" w14:textId="1782FA19" w:rsidR="002B3A74" w:rsidRDefault="002B3A74" w:rsidP="002B3A74"/>
    <w:p w14:paraId="16C15A37" w14:textId="33A5F216" w:rsidR="002B3A74" w:rsidRPr="002B3A74" w:rsidRDefault="002B3A74" w:rsidP="002B3A74">
      <w:r>
        <w:lastRenderedPageBreak/>
        <w:t>Text</w:t>
      </w:r>
    </w:p>
    <w:p w14:paraId="1509745A" w14:textId="26C15047" w:rsidR="002B3A74" w:rsidRDefault="002B3A74" w:rsidP="000661A5"/>
    <w:p w14:paraId="61317461" w14:textId="0044F95B" w:rsidR="002B3A74" w:rsidRDefault="002B3A74" w:rsidP="002B3A74">
      <w:pPr>
        <w:pStyle w:val="Heading3"/>
      </w:pPr>
      <w:r>
        <w:t>Data Sources (150 words)</w:t>
      </w:r>
    </w:p>
    <w:p w14:paraId="711ED6D9" w14:textId="472524EA" w:rsidR="002B3A74" w:rsidRDefault="002B3A74" w:rsidP="002B3A74"/>
    <w:p w14:paraId="77060463" w14:textId="4EF39DFD" w:rsidR="002B3A74" w:rsidRDefault="002B3A74" w:rsidP="002B3A74">
      <w:r w:rsidRPr="002B3A74">
        <w:t>The outcome data on estimates of PrEP need by LAC are sourced from the UK Health Security Agency (UKHSA). PrEP need is a calculated measure that assesses the proportion of all people accessing a specialist SHS who are both (</w:t>
      </w:r>
      <w:proofErr w:type="spellStart"/>
      <w:r w:rsidRPr="002B3A74">
        <w:t>i</w:t>
      </w:r>
      <w:proofErr w:type="spellEnd"/>
      <w:r w:rsidRPr="002B3A74">
        <w:t>) HIV negative and (ii) considered to be at substantial HIV risk. The estimate of HIV risk is assessed using clinical coding data from the Genitourinary Medicine Clinic Activity Dataset (GUMCAD), which is England's mandatory STI surveillance system operated by UKHSA</w:t>
      </w:r>
      <w:r>
        <w:t xml:space="preserve"> (</w:t>
      </w:r>
      <w:r w:rsidRPr="002B3A74">
        <w:rPr>
          <w:color w:val="0070C0"/>
        </w:rPr>
        <w:t>@ukhsa-framework</w:t>
      </w:r>
      <w:r>
        <w:t>)</w:t>
      </w:r>
      <w:r w:rsidRPr="002B3A74">
        <w:t>.</w:t>
      </w:r>
      <w:r>
        <w:t xml:space="preserve"> A detailed definition of the GUMCAD criteria is listed in </w:t>
      </w:r>
      <w:r w:rsidRPr="002B3A74">
        <w:rPr>
          <w:highlight w:val="yellow"/>
        </w:rPr>
        <w:t>Appendix X</w:t>
      </w:r>
      <w:r>
        <w:t>.</w:t>
      </w:r>
      <w:r w:rsidR="00891BC0">
        <w:t xml:space="preserve"> </w:t>
      </w:r>
    </w:p>
    <w:p w14:paraId="513D2C25" w14:textId="4FADFE48" w:rsidR="00891BC0" w:rsidRDefault="00E55026" w:rsidP="002B3A74">
      <w:r>
        <w:t>Rural-urban classifications for LACs are produced by the UK Department of Environment, Food &amp; Rural Affairs (DEFRA). LACs are classified into 1 of 6 categories based on the proportion of the population residing in rural areas</w:t>
      </w:r>
      <w:r w:rsidR="00E77587">
        <w:t xml:space="preserve"> (</w:t>
      </w:r>
      <w:r w:rsidR="00E77587" w:rsidRPr="00F3280D">
        <w:rPr>
          <w:highlight w:val="yellow"/>
        </w:rPr>
        <w:t>Table 1</w:t>
      </w:r>
      <w:r w:rsidR="00E77587">
        <w:t>). Areas are classed as rural if they fall outside of settlements with a population of 10,000 or greater</w:t>
      </w:r>
      <w:r w:rsidR="00891BC0">
        <w:t xml:space="preserve"> (</w:t>
      </w:r>
      <w:r w:rsidR="00891BC0" w:rsidRPr="00891BC0">
        <w:rPr>
          <w:color w:val="0070C0"/>
        </w:rPr>
        <w:t>@defra-ruralurban</w:t>
      </w:r>
      <w:r w:rsidR="00891BC0">
        <w:t>)</w:t>
      </w:r>
      <w:r w:rsidR="00E77587">
        <w:t>.</w:t>
      </w:r>
    </w:p>
    <w:p w14:paraId="6100F2FC" w14:textId="659E809B" w:rsidR="00891BC0" w:rsidRDefault="00891BC0" w:rsidP="002B3A74">
      <w:r>
        <w:t xml:space="preserve">Demographic data for LACs are sourced from England’s Census 2021. A range of variables encompassing socioeconomic status, </w:t>
      </w:r>
      <w:r w:rsidR="009E3265">
        <w:t xml:space="preserve">education level, </w:t>
      </w:r>
      <w:r>
        <w:t xml:space="preserve">ethnic diversity, sexual minorities, and social attitudes were selected based on </w:t>
      </w:r>
      <w:r w:rsidR="009E3265">
        <w:t xml:space="preserve">an assessment of the literature on factors affecting PrEP literacy, attitude, and uptake, both in the UK and abroad. </w:t>
      </w:r>
    </w:p>
    <w:p w14:paraId="25FA90CE" w14:textId="77777777" w:rsidR="00F3280D" w:rsidRDefault="00F3280D" w:rsidP="002B3A74"/>
    <w:p w14:paraId="65C628A5" w14:textId="38B14A0D" w:rsidR="00F3280D" w:rsidRDefault="00F3280D" w:rsidP="00F3280D">
      <w:pPr>
        <w:pStyle w:val="Caption"/>
        <w:keepNext/>
      </w:pPr>
      <w:r>
        <w:t xml:space="preserve">Table </w:t>
      </w:r>
      <w:fldSimple w:instr=" SEQ Table \* ARABIC ">
        <w:r>
          <w:rPr>
            <w:noProof/>
          </w:rPr>
          <w:t>1</w:t>
        </w:r>
      </w:fldSimple>
      <w:r>
        <w:t>: Rural-Urban Classification for Local Authority Councils in England (</w:t>
      </w:r>
      <w:r w:rsidRPr="00F3280D">
        <w:rPr>
          <w:color w:val="0070C0"/>
        </w:rPr>
        <w:t>@defra-ruralurban</w:t>
      </w:r>
      <w:r>
        <w:t>)</w:t>
      </w:r>
    </w:p>
    <w:tbl>
      <w:tblPr>
        <w:tblStyle w:val="TableGrid"/>
        <w:tblW w:w="0" w:type="auto"/>
        <w:tblLook w:val="04A0" w:firstRow="1" w:lastRow="0" w:firstColumn="1" w:lastColumn="0" w:noHBand="0" w:noVBand="1"/>
      </w:tblPr>
      <w:tblGrid>
        <w:gridCol w:w="1094"/>
        <w:gridCol w:w="1258"/>
        <w:gridCol w:w="1281"/>
        <w:gridCol w:w="1348"/>
        <w:gridCol w:w="1249"/>
        <w:gridCol w:w="1393"/>
        <w:gridCol w:w="1393"/>
      </w:tblGrid>
      <w:tr w:rsidR="004578B7" w14:paraId="356AF994" w14:textId="77777777" w:rsidTr="00F3280D">
        <w:tc>
          <w:tcPr>
            <w:tcW w:w="1094" w:type="dxa"/>
            <w:tcBorders>
              <w:bottom w:val="single" w:sz="12" w:space="0" w:color="000000"/>
            </w:tcBorders>
          </w:tcPr>
          <w:p w14:paraId="56A40853" w14:textId="414417A2" w:rsidR="004578B7" w:rsidRPr="00F3280D" w:rsidRDefault="004578B7" w:rsidP="00F3280D">
            <w:pPr>
              <w:spacing w:before="60" w:after="60"/>
              <w:jc w:val="left"/>
              <w:rPr>
                <w:sz w:val="18"/>
                <w:szCs w:val="18"/>
              </w:rPr>
            </w:pPr>
          </w:p>
        </w:tc>
        <w:tc>
          <w:tcPr>
            <w:tcW w:w="7922" w:type="dxa"/>
            <w:gridSpan w:val="6"/>
            <w:tcBorders>
              <w:bottom w:val="single" w:sz="12" w:space="0" w:color="000000"/>
            </w:tcBorders>
          </w:tcPr>
          <w:p w14:paraId="5F03F215" w14:textId="150080EA" w:rsidR="004578B7" w:rsidRPr="00F3280D" w:rsidRDefault="00F3280D" w:rsidP="00F3280D">
            <w:pPr>
              <w:spacing w:before="60" w:after="60"/>
              <w:jc w:val="center"/>
              <w:rPr>
                <w:b/>
                <w:bCs/>
                <w:sz w:val="18"/>
                <w:szCs w:val="18"/>
              </w:rPr>
            </w:pPr>
            <w:r w:rsidRPr="00F3280D">
              <w:rPr>
                <w:b/>
                <w:bCs/>
                <w:sz w:val="18"/>
                <w:szCs w:val="18"/>
              </w:rPr>
              <w:t>Classification</w:t>
            </w:r>
          </w:p>
        </w:tc>
      </w:tr>
      <w:tr w:rsidR="00E55026" w14:paraId="37EE7697" w14:textId="77777777" w:rsidTr="00F3280D">
        <w:tc>
          <w:tcPr>
            <w:tcW w:w="1094" w:type="dxa"/>
            <w:tcBorders>
              <w:top w:val="single" w:sz="12" w:space="0" w:color="000000"/>
            </w:tcBorders>
          </w:tcPr>
          <w:p w14:paraId="4F8870D0" w14:textId="6409E6EF" w:rsidR="00E55026" w:rsidRPr="00F3280D" w:rsidRDefault="00E55026" w:rsidP="00F3280D">
            <w:pPr>
              <w:spacing w:before="60" w:after="60"/>
              <w:jc w:val="left"/>
              <w:rPr>
                <w:b/>
                <w:bCs/>
                <w:sz w:val="18"/>
                <w:szCs w:val="18"/>
              </w:rPr>
            </w:pPr>
            <w:r w:rsidRPr="00F3280D">
              <w:rPr>
                <w:b/>
                <w:bCs/>
                <w:sz w:val="18"/>
                <w:szCs w:val="18"/>
              </w:rPr>
              <w:t xml:space="preserve">2-class </w:t>
            </w:r>
          </w:p>
        </w:tc>
        <w:tc>
          <w:tcPr>
            <w:tcW w:w="3887" w:type="dxa"/>
            <w:gridSpan w:val="3"/>
            <w:tcBorders>
              <w:top w:val="single" w:sz="12" w:space="0" w:color="000000"/>
            </w:tcBorders>
          </w:tcPr>
          <w:p w14:paraId="3AA8E68A" w14:textId="392B1D70" w:rsidR="00E55026" w:rsidRPr="00E55026" w:rsidRDefault="00E55026" w:rsidP="00F3280D">
            <w:pPr>
              <w:spacing w:before="60" w:after="60"/>
              <w:jc w:val="center"/>
              <w:rPr>
                <w:sz w:val="18"/>
                <w:szCs w:val="18"/>
              </w:rPr>
            </w:pPr>
            <w:r>
              <w:rPr>
                <w:sz w:val="18"/>
                <w:szCs w:val="18"/>
              </w:rPr>
              <w:t>Regional-Rural</w:t>
            </w:r>
          </w:p>
        </w:tc>
        <w:tc>
          <w:tcPr>
            <w:tcW w:w="4035" w:type="dxa"/>
            <w:gridSpan w:val="3"/>
            <w:tcBorders>
              <w:top w:val="single" w:sz="12" w:space="0" w:color="000000"/>
            </w:tcBorders>
          </w:tcPr>
          <w:p w14:paraId="0ABAB640" w14:textId="22B09811" w:rsidR="00E55026" w:rsidRPr="00E55026" w:rsidRDefault="004578B7" w:rsidP="00F3280D">
            <w:pPr>
              <w:spacing w:before="60" w:after="60"/>
              <w:jc w:val="center"/>
              <w:rPr>
                <w:sz w:val="18"/>
                <w:szCs w:val="18"/>
              </w:rPr>
            </w:pPr>
            <w:r>
              <w:rPr>
                <w:sz w:val="18"/>
                <w:szCs w:val="18"/>
              </w:rPr>
              <w:t>Urban</w:t>
            </w:r>
          </w:p>
        </w:tc>
      </w:tr>
      <w:tr w:rsidR="00E55026" w14:paraId="68242196" w14:textId="77777777" w:rsidTr="00866DDA">
        <w:tc>
          <w:tcPr>
            <w:tcW w:w="1094" w:type="dxa"/>
          </w:tcPr>
          <w:p w14:paraId="3F6E84AD" w14:textId="6AED488C" w:rsidR="00E55026" w:rsidRPr="00F3280D" w:rsidRDefault="00E55026" w:rsidP="00F3280D">
            <w:pPr>
              <w:spacing w:before="60" w:after="60"/>
              <w:jc w:val="left"/>
              <w:rPr>
                <w:b/>
                <w:bCs/>
                <w:sz w:val="18"/>
                <w:szCs w:val="18"/>
              </w:rPr>
            </w:pPr>
            <w:r w:rsidRPr="00F3280D">
              <w:rPr>
                <w:b/>
                <w:bCs/>
                <w:sz w:val="18"/>
                <w:szCs w:val="18"/>
              </w:rPr>
              <w:t xml:space="preserve">3-class </w:t>
            </w:r>
          </w:p>
        </w:tc>
        <w:tc>
          <w:tcPr>
            <w:tcW w:w="2539" w:type="dxa"/>
            <w:gridSpan w:val="2"/>
          </w:tcPr>
          <w:p w14:paraId="38FE9EB0" w14:textId="11F81B46" w:rsidR="00E55026" w:rsidRPr="00E55026" w:rsidRDefault="00E55026" w:rsidP="00F3280D">
            <w:pPr>
              <w:spacing w:before="60" w:after="60"/>
              <w:jc w:val="center"/>
              <w:rPr>
                <w:sz w:val="18"/>
                <w:szCs w:val="18"/>
              </w:rPr>
            </w:pPr>
            <w:r>
              <w:rPr>
                <w:sz w:val="18"/>
                <w:szCs w:val="18"/>
              </w:rPr>
              <w:t>Predominantly rural</w:t>
            </w:r>
          </w:p>
        </w:tc>
        <w:tc>
          <w:tcPr>
            <w:tcW w:w="1348" w:type="dxa"/>
          </w:tcPr>
          <w:p w14:paraId="1B1A8CBF" w14:textId="51DEA4A7" w:rsidR="00E55026" w:rsidRPr="00E55026" w:rsidRDefault="00E55026" w:rsidP="00F3280D">
            <w:pPr>
              <w:spacing w:before="60" w:after="60"/>
              <w:jc w:val="center"/>
              <w:rPr>
                <w:sz w:val="18"/>
                <w:szCs w:val="18"/>
              </w:rPr>
            </w:pPr>
            <w:r w:rsidRPr="00E55026">
              <w:rPr>
                <w:sz w:val="18"/>
                <w:szCs w:val="18"/>
              </w:rPr>
              <w:t>Urban with significant rural</w:t>
            </w:r>
          </w:p>
        </w:tc>
        <w:tc>
          <w:tcPr>
            <w:tcW w:w="4035" w:type="dxa"/>
            <w:gridSpan w:val="3"/>
          </w:tcPr>
          <w:p w14:paraId="69D33EFB" w14:textId="0BEEDDB3" w:rsidR="00E55026" w:rsidRPr="00E55026" w:rsidRDefault="00E55026" w:rsidP="00F3280D">
            <w:pPr>
              <w:spacing w:before="60" w:after="60"/>
              <w:jc w:val="center"/>
              <w:rPr>
                <w:sz w:val="18"/>
                <w:szCs w:val="18"/>
              </w:rPr>
            </w:pPr>
            <w:r>
              <w:rPr>
                <w:sz w:val="18"/>
                <w:szCs w:val="18"/>
              </w:rPr>
              <w:t>Predominantly urban</w:t>
            </w:r>
          </w:p>
        </w:tc>
      </w:tr>
      <w:tr w:rsidR="00E55026" w14:paraId="0EE02B1E" w14:textId="77777777" w:rsidTr="00F3280D">
        <w:tc>
          <w:tcPr>
            <w:tcW w:w="1094" w:type="dxa"/>
            <w:tcBorders>
              <w:bottom w:val="single" w:sz="12" w:space="0" w:color="auto"/>
            </w:tcBorders>
          </w:tcPr>
          <w:p w14:paraId="1BA3FA8F" w14:textId="2C050804" w:rsidR="00E55026" w:rsidRPr="00F3280D" w:rsidRDefault="00E55026" w:rsidP="00F3280D">
            <w:pPr>
              <w:spacing w:before="60" w:after="60"/>
              <w:jc w:val="left"/>
              <w:rPr>
                <w:b/>
                <w:bCs/>
                <w:sz w:val="18"/>
                <w:szCs w:val="18"/>
              </w:rPr>
            </w:pPr>
            <w:r w:rsidRPr="00F3280D">
              <w:rPr>
                <w:b/>
                <w:bCs/>
                <w:sz w:val="18"/>
                <w:szCs w:val="18"/>
              </w:rPr>
              <w:t xml:space="preserve">6-class </w:t>
            </w:r>
          </w:p>
        </w:tc>
        <w:tc>
          <w:tcPr>
            <w:tcW w:w="1258" w:type="dxa"/>
            <w:tcBorders>
              <w:bottom w:val="single" w:sz="12" w:space="0" w:color="auto"/>
            </w:tcBorders>
          </w:tcPr>
          <w:p w14:paraId="118EBFE5" w14:textId="0DE4BFEF" w:rsidR="00E55026" w:rsidRDefault="00E55026" w:rsidP="00F3280D">
            <w:pPr>
              <w:spacing w:before="60" w:after="60"/>
              <w:jc w:val="center"/>
              <w:rPr>
                <w:sz w:val="18"/>
                <w:szCs w:val="18"/>
              </w:rPr>
            </w:pPr>
            <w:r w:rsidRPr="00E55026">
              <w:rPr>
                <w:sz w:val="18"/>
                <w:szCs w:val="18"/>
              </w:rPr>
              <w:t>Mainly rural</w:t>
            </w:r>
          </w:p>
          <w:p w14:paraId="4D2961BD" w14:textId="6A098589" w:rsidR="00E55026" w:rsidRPr="00E55026" w:rsidRDefault="00E55026" w:rsidP="00F3280D">
            <w:pPr>
              <w:spacing w:before="60" w:after="60"/>
              <w:jc w:val="center"/>
              <w:rPr>
                <w:sz w:val="18"/>
                <w:szCs w:val="18"/>
              </w:rPr>
            </w:pPr>
          </w:p>
        </w:tc>
        <w:tc>
          <w:tcPr>
            <w:tcW w:w="1281" w:type="dxa"/>
            <w:tcBorders>
              <w:bottom w:val="single" w:sz="12" w:space="0" w:color="auto"/>
            </w:tcBorders>
          </w:tcPr>
          <w:p w14:paraId="47977F3A" w14:textId="156ED338" w:rsidR="00E55026" w:rsidRPr="00E55026" w:rsidRDefault="00E55026" w:rsidP="00F3280D">
            <w:pPr>
              <w:spacing w:before="60" w:after="60"/>
              <w:jc w:val="center"/>
              <w:rPr>
                <w:sz w:val="18"/>
                <w:szCs w:val="18"/>
              </w:rPr>
            </w:pPr>
            <w:r w:rsidRPr="00E55026">
              <w:rPr>
                <w:sz w:val="18"/>
                <w:szCs w:val="18"/>
              </w:rPr>
              <w:t>Largely rural</w:t>
            </w:r>
          </w:p>
        </w:tc>
        <w:tc>
          <w:tcPr>
            <w:tcW w:w="1348" w:type="dxa"/>
            <w:tcBorders>
              <w:bottom w:val="single" w:sz="12" w:space="0" w:color="auto"/>
            </w:tcBorders>
          </w:tcPr>
          <w:p w14:paraId="19F8BFAC" w14:textId="1638A96E" w:rsidR="00E55026" w:rsidRPr="00E55026" w:rsidRDefault="00E55026" w:rsidP="00F3280D">
            <w:pPr>
              <w:spacing w:before="60" w:after="60"/>
              <w:jc w:val="center"/>
              <w:rPr>
                <w:sz w:val="18"/>
                <w:szCs w:val="18"/>
              </w:rPr>
            </w:pPr>
            <w:r w:rsidRPr="00E55026">
              <w:rPr>
                <w:sz w:val="18"/>
                <w:szCs w:val="18"/>
              </w:rPr>
              <w:t>Urban with significant rural</w:t>
            </w:r>
          </w:p>
        </w:tc>
        <w:tc>
          <w:tcPr>
            <w:tcW w:w="1249" w:type="dxa"/>
            <w:tcBorders>
              <w:bottom w:val="single" w:sz="12" w:space="0" w:color="auto"/>
            </w:tcBorders>
          </w:tcPr>
          <w:p w14:paraId="76DDD6AA" w14:textId="6187A8ED" w:rsidR="00E55026" w:rsidRPr="00E55026" w:rsidRDefault="00E55026" w:rsidP="00F3280D">
            <w:pPr>
              <w:spacing w:before="60" w:after="60"/>
              <w:jc w:val="center"/>
              <w:rPr>
                <w:sz w:val="18"/>
                <w:szCs w:val="18"/>
              </w:rPr>
            </w:pPr>
            <w:r w:rsidRPr="00E55026">
              <w:rPr>
                <w:sz w:val="18"/>
                <w:szCs w:val="18"/>
              </w:rPr>
              <w:t>Urban with city and town</w:t>
            </w:r>
          </w:p>
        </w:tc>
        <w:tc>
          <w:tcPr>
            <w:tcW w:w="1393" w:type="dxa"/>
            <w:tcBorders>
              <w:bottom w:val="single" w:sz="12" w:space="0" w:color="auto"/>
            </w:tcBorders>
          </w:tcPr>
          <w:p w14:paraId="378125E7" w14:textId="64610A1F" w:rsidR="00E55026" w:rsidRPr="00E55026" w:rsidRDefault="00E55026" w:rsidP="00F3280D">
            <w:pPr>
              <w:spacing w:before="60" w:after="60"/>
              <w:jc w:val="center"/>
              <w:rPr>
                <w:sz w:val="18"/>
                <w:szCs w:val="18"/>
              </w:rPr>
            </w:pPr>
            <w:r w:rsidRPr="00E55026">
              <w:rPr>
                <w:sz w:val="18"/>
                <w:szCs w:val="18"/>
              </w:rPr>
              <w:t>Urban with minor conurbation</w:t>
            </w:r>
          </w:p>
        </w:tc>
        <w:tc>
          <w:tcPr>
            <w:tcW w:w="1393" w:type="dxa"/>
            <w:tcBorders>
              <w:bottom w:val="single" w:sz="12" w:space="0" w:color="auto"/>
            </w:tcBorders>
          </w:tcPr>
          <w:p w14:paraId="7097E95B" w14:textId="01CABDE9" w:rsidR="00E55026" w:rsidRPr="00E55026" w:rsidRDefault="00E55026" w:rsidP="00F3280D">
            <w:pPr>
              <w:spacing w:before="60" w:after="60"/>
              <w:jc w:val="center"/>
              <w:rPr>
                <w:sz w:val="18"/>
                <w:szCs w:val="18"/>
              </w:rPr>
            </w:pPr>
            <w:r w:rsidRPr="00E55026">
              <w:rPr>
                <w:sz w:val="18"/>
                <w:szCs w:val="18"/>
              </w:rPr>
              <w:t>Urban with major conurbation</w:t>
            </w:r>
          </w:p>
        </w:tc>
      </w:tr>
      <w:tr w:rsidR="00F3280D" w14:paraId="1B156D48" w14:textId="77777777" w:rsidTr="00F3280D">
        <w:tc>
          <w:tcPr>
            <w:tcW w:w="1094" w:type="dxa"/>
            <w:tcBorders>
              <w:top w:val="single" w:sz="12" w:space="0" w:color="auto"/>
              <w:bottom w:val="single" w:sz="12" w:space="0" w:color="000000"/>
            </w:tcBorders>
          </w:tcPr>
          <w:p w14:paraId="3001D749" w14:textId="30EBE1DB" w:rsidR="00F3280D" w:rsidRPr="00F3280D" w:rsidRDefault="00F3280D" w:rsidP="00F3280D">
            <w:pPr>
              <w:spacing w:before="60" w:after="60"/>
              <w:jc w:val="left"/>
              <w:rPr>
                <w:b/>
                <w:bCs/>
                <w:sz w:val="18"/>
                <w:szCs w:val="18"/>
              </w:rPr>
            </w:pPr>
            <w:r>
              <w:rPr>
                <w:b/>
                <w:bCs/>
                <w:sz w:val="18"/>
                <w:szCs w:val="18"/>
              </w:rPr>
              <w:t>Definition</w:t>
            </w:r>
          </w:p>
        </w:tc>
        <w:tc>
          <w:tcPr>
            <w:tcW w:w="1258" w:type="dxa"/>
            <w:tcBorders>
              <w:top w:val="single" w:sz="12" w:space="0" w:color="auto"/>
              <w:bottom w:val="single" w:sz="12" w:space="0" w:color="000000"/>
            </w:tcBorders>
          </w:tcPr>
          <w:p w14:paraId="51ACD1E0" w14:textId="2D509BB7" w:rsidR="00F3280D" w:rsidRPr="00E55026" w:rsidRDefault="00F3280D" w:rsidP="00F3280D">
            <w:pPr>
              <w:spacing w:before="60" w:after="60"/>
              <w:jc w:val="center"/>
              <w:rPr>
                <w:sz w:val="18"/>
                <w:szCs w:val="18"/>
              </w:rPr>
            </w:pPr>
            <w:r>
              <w:rPr>
                <w:rFonts w:cstheme="minorHAnsi"/>
                <w:sz w:val="18"/>
                <w:szCs w:val="18"/>
              </w:rPr>
              <w:t>≥</w:t>
            </w:r>
            <w:r>
              <w:rPr>
                <w:sz w:val="18"/>
                <w:szCs w:val="18"/>
              </w:rPr>
              <w:t>80% rural</w:t>
            </w:r>
          </w:p>
        </w:tc>
        <w:tc>
          <w:tcPr>
            <w:tcW w:w="1281" w:type="dxa"/>
            <w:tcBorders>
              <w:top w:val="single" w:sz="12" w:space="0" w:color="auto"/>
              <w:bottom w:val="single" w:sz="12" w:space="0" w:color="000000"/>
            </w:tcBorders>
          </w:tcPr>
          <w:p w14:paraId="6DFC6DB7" w14:textId="5B04B956" w:rsidR="00F3280D" w:rsidRPr="00E55026" w:rsidRDefault="00F3280D" w:rsidP="00F3280D">
            <w:pPr>
              <w:spacing w:before="60" w:after="60"/>
              <w:jc w:val="center"/>
              <w:rPr>
                <w:sz w:val="18"/>
                <w:szCs w:val="18"/>
              </w:rPr>
            </w:pPr>
            <w:r>
              <w:rPr>
                <w:sz w:val="18"/>
                <w:szCs w:val="18"/>
              </w:rPr>
              <w:t>50–79% rural</w:t>
            </w:r>
          </w:p>
        </w:tc>
        <w:tc>
          <w:tcPr>
            <w:tcW w:w="1348" w:type="dxa"/>
            <w:tcBorders>
              <w:top w:val="single" w:sz="12" w:space="0" w:color="auto"/>
              <w:bottom w:val="single" w:sz="12" w:space="0" w:color="000000"/>
            </w:tcBorders>
          </w:tcPr>
          <w:p w14:paraId="080A028A" w14:textId="4162AE8C" w:rsidR="00F3280D" w:rsidRPr="00E55026" w:rsidRDefault="00F3280D" w:rsidP="00F3280D">
            <w:pPr>
              <w:spacing w:before="60" w:after="60"/>
              <w:jc w:val="center"/>
              <w:rPr>
                <w:sz w:val="18"/>
                <w:szCs w:val="18"/>
              </w:rPr>
            </w:pPr>
            <w:r>
              <w:rPr>
                <w:sz w:val="18"/>
                <w:szCs w:val="18"/>
              </w:rPr>
              <w:t>26–49% rural</w:t>
            </w:r>
          </w:p>
        </w:tc>
        <w:tc>
          <w:tcPr>
            <w:tcW w:w="4035" w:type="dxa"/>
            <w:gridSpan w:val="3"/>
            <w:tcBorders>
              <w:top w:val="single" w:sz="12" w:space="0" w:color="auto"/>
              <w:bottom w:val="single" w:sz="12" w:space="0" w:color="000000"/>
            </w:tcBorders>
          </w:tcPr>
          <w:p w14:paraId="19CE5166" w14:textId="73D2A1D7" w:rsidR="00F3280D" w:rsidRPr="00E55026" w:rsidRDefault="00F3280D" w:rsidP="00F3280D">
            <w:pPr>
              <w:spacing w:before="60" w:after="60"/>
              <w:jc w:val="center"/>
              <w:rPr>
                <w:sz w:val="18"/>
                <w:szCs w:val="18"/>
              </w:rPr>
            </w:pPr>
            <w:r>
              <w:rPr>
                <w:rFonts w:cstheme="minorHAnsi"/>
                <w:sz w:val="18"/>
                <w:szCs w:val="18"/>
              </w:rPr>
              <w:t>≤</w:t>
            </w:r>
            <w:r>
              <w:rPr>
                <w:sz w:val="18"/>
                <w:szCs w:val="18"/>
              </w:rPr>
              <w:t>26% rural</w:t>
            </w:r>
          </w:p>
        </w:tc>
      </w:tr>
    </w:tbl>
    <w:p w14:paraId="01320946" w14:textId="75C2F0BC" w:rsidR="00E55026" w:rsidRDefault="00E55026" w:rsidP="002B3A74"/>
    <w:p w14:paraId="4A3CB17D" w14:textId="1571D3B7" w:rsidR="002B3A74" w:rsidRDefault="002B3A74" w:rsidP="002B3A74"/>
    <w:p w14:paraId="4AD3DC03" w14:textId="6C431940" w:rsidR="002B3A74" w:rsidRDefault="002B3A74" w:rsidP="002B3A74">
      <w:pPr>
        <w:pStyle w:val="Heading3"/>
      </w:pPr>
      <w:r>
        <w:t>Methodology (150 words)</w:t>
      </w:r>
    </w:p>
    <w:p w14:paraId="652CA867" w14:textId="7D4576DE" w:rsidR="002B3A74" w:rsidRDefault="002B3A74" w:rsidP="002B3A74"/>
    <w:p w14:paraId="6CEE21B9" w14:textId="66EA752C" w:rsidR="002B3A74" w:rsidRDefault="002B3A74" w:rsidP="002B3A74">
      <w:r>
        <w:t>Text</w:t>
      </w:r>
    </w:p>
    <w:p w14:paraId="4B9DF85E" w14:textId="064E10C2" w:rsidR="002B3A74" w:rsidRDefault="002B3A74" w:rsidP="002B3A74"/>
    <w:p w14:paraId="7BE59773" w14:textId="2F67864B" w:rsidR="002B3A74" w:rsidRDefault="002B3A74" w:rsidP="002B3A74">
      <w:pPr>
        <w:pStyle w:val="Heading3"/>
      </w:pPr>
      <w:r>
        <w:t>Results (300 words)</w:t>
      </w:r>
    </w:p>
    <w:p w14:paraId="3197B5CD" w14:textId="2426490C" w:rsidR="002B3A74" w:rsidRDefault="002B3A74" w:rsidP="002B3A74"/>
    <w:p w14:paraId="6BCD2773" w14:textId="01B755E7" w:rsidR="002B3A74" w:rsidRDefault="002B3A74" w:rsidP="002B3A74">
      <w:r>
        <w:t>Text</w:t>
      </w:r>
    </w:p>
    <w:p w14:paraId="71672880" w14:textId="1D89AF70" w:rsidR="002B3A74" w:rsidRDefault="002B3A74" w:rsidP="002B3A74"/>
    <w:p w14:paraId="461C2CAF" w14:textId="55AC5B14" w:rsidR="002B3A74" w:rsidRDefault="002B3A74" w:rsidP="002B3A74">
      <w:pPr>
        <w:pStyle w:val="Heading3"/>
      </w:pPr>
      <w:r>
        <w:lastRenderedPageBreak/>
        <w:t>Discussion (500 words)</w:t>
      </w:r>
    </w:p>
    <w:p w14:paraId="502EE8B4" w14:textId="32A22472" w:rsidR="002B3A74" w:rsidRDefault="002B3A74" w:rsidP="002B3A74"/>
    <w:p w14:paraId="115D0834" w14:textId="7399E78C" w:rsidR="002B3A74" w:rsidRDefault="002B3A74" w:rsidP="002B3A74">
      <w:r>
        <w:t>Text</w:t>
      </w:r>
    </w:p>
    <w:p w14:paraId="7254EBD4" w14:textId="77777777" w:rsidR="004132AB" w:rsidRDefault="004132AB" w:rsidP="002B3A74"/>
    <w:p w14:paraId="1C489DA1" w14:textId="28D3F47E" w:rsidR="008655CA" w:rsidRPr="008655CA" w:rsidRDefault="004132AB" w:rsidP="008655CA">
      <w:pPr>
        <w:pStyle w:val="Heading4"/>
      </w:pPr>
      <w:r>
        <w:t>Limitations</w:t>
      </w:r>
    </w:p>
    <w:p w14:paraId="0A69A0B4" w14:textId="5C511B4D" w:rsidR="004132AB" w:rsidRDefault="004132AB" w:rsidP="004132AB">
      <w:r>
        <w:t xml:space="preserve">The UKHSA’s first PrEP monitoring framework was released in 2022, reflecting the recent introduction of the medication to England under NHS-funding, and the relatively rapid </w:t>
      </w:r>
      <w:r w:rsidR="00DD66AB">
        <w:t xml:space="preserve">transition to PrEP uptake as a key strategy in combatting the HIV epidemic in the UK. The data used in this analysis is thus the first release of data for these indicators, and provisional analysis by the UKHSA suggests that under reporting and inconsistent use of novel PrEP surveillance codes in GUMCAD is likely to lead to underestimates in calculation of PrEP need. It is also possible that this underestimation will be greater in regional-rural areas, as healthcare workers </w:t>
      </w:r>
      <w:r w:rsidR="0037642D">
        <w:t xml:space="preserve">in these areas </w:t>
      </w:r>
      <w:r w:rsidR="00DD66AB">
        <w:t xml:space="preserve">are likely to have lower exposure to HIV at-risk communities and less </w:t>
      </w:r>
      <w:r w:rsidR="0037642D">
        <w:t xml:space="preserve">specialist </w:t>
      </w:r>
      <w:r w:rsidR="00DD66AB">
        <w:t>expertise in PrEP and HIV care</w:t>
      </w:r>
      <w:r w:rsidR="0037642D">
        <w:t xml:space="preserve"> </w:t>
      </w:r>
      <w:r w:rsidR="0037642D" w:rsidRPr="0037642D">
        <w:rPr>
          <w:color w:val="0070C0"/>
        </w:rPr>
        <w:t>(@owens2022-gps</w:t>
      </w:r>
      <w:r w:rsidR="0037642D">
        <w:t xml:space="preserve">; </w:t>
      </w:r>
      <w:r w:rsidR="0037642D" w:rsidRPr="0037642D">
        <w:rPr>
          <w:color w:val="0070C0"/>
        </w:rPr>
        <w:t>@petroll2017</w:t>
      </w:r>
      <w:r w:rsidR="0037642D">
        <w:t>)</w:t>
      </w:r>
      <w:r w:rsidR="00DD66AB">
        <w:t>.</w:t>
      </w:r>
      <w:r w:rsidR="00B95F99">
        <w:t xml:space="preserve"> Disrupted access to healthcare services due to the COVID pandemic and associated lockdowns in 2021 should also be considered when drawing interpretations from this data</w:t>
      </w:r>
      <w:r w:rsidR="00022AD8">
        <w:t xml:space="preserve"> (</w:t>
      </w:r>
      <w:r w:rsidR="00022AD8" w:rsidRPr="00022AD8">
        <w:rPr>
          <w:color w:val="4472C4" w:themeColor="accent1"/>
        </w:rPr>
        <w:t>@wich-monitoringtool</w:t>
      </w:r>
      <w:r w:rsidR="00022AD8">
        <w:t>)</w:t>
      </w:r>
      <w:r w:rsidR="00B95F99">
        <w:t>.</w:t>
      </w:r>
      <w:r w:rsidR="00DD66AB">
        <w:t xml:space="preserve"> </w:t>
      </w:r>
      <w:r w:rsidR="0037642D">
        <w:t xml:space="preserve">Further analysis in this area </w:t>
      </w:r>
      <w:r w:rsidR="005904A8">
        <w:t>should be conducted a</w:t>
      </w:r>
      <w:r w:rsidR="0037642D">
        <w:t xml:space="preserve">s the PrEP monitoring framework matures and more years of data become available, </w:t>
      </w:r>
      <w:r w:rsidR="00B95F99">
        <w:t>in anticipation that</w:t>
      </w:r>
      <w:r w:rsidR="005904A8">
        <w:t xml:space="preserve"> these data quality issues </w:t>
      </w:r>
      <w:r w:rsidR="00B95F99">
        <w:t>will lessen</w:t>
      </w:r>
      <w:r w:rsidR="005904A8">
        <w:t xml:space="preserve"> over time. </w:t>
      </w:r>
    </w:p>
    <w:p w14:paraId="5916BA0F" w14:textId="608F8ACC" w:rsidR="00E73F17" w:rsidRPr="004132AB" w:rsidRDefault="00022AD8" w:rsidP="00022AD8">
      <w:r>
        <w:t>The</w:t>
      </w:r>
      <w:r w:rsidR="00E73F17">
        <w:t xml:space="preserve"> denominator for estimating PrEP need only accounts for the population that access and engage in care with SHSs. Any person at-risk of HIV who is not seen by an SHS is not included in the calculation of PrEP need – this is especially pertinent for people who inject drugs (PWID), who are less likely to engage in care (</w:t>
      </w:r>
      <w:r w:rsidRPr="00022AD8">
        <w:rPr>
          <w:color w:val="4472C4" w:themeColor="accent1"/>
        </w:rPr>
        <w:t>@phe-framework</w:t>
      </w:r>
      <w:r w:rsidR="00E73F17">
        <w:t xml:space="preserve">) and who should be classified as PrEP-eligible independent of sexual or demographic risk factors. </w:t>
      </w:r>
    </w:p>
    <w:p w14:paraId="32C22A9F" w14:textId="78093D94" w:rsidR="00860B6A" w:rsidRDefault="00860B6A" w:rsidP="002B3A74">
      <w:r>
        <w:t>Th</w:t>
      </w:r>
      <w:r w:rsidR="00022AD8">
        <w:t xml:space="preserve">is investigation </w:t>
      </w:r>
      <w:r>
        <w:t xml:space="preserve">is further limited by the geographic scale of analysis, as PrEP monitoring data is only released at the LAC level. There is wide variance in the population and area of LACs in the UK, and a binary urban-rural classification at this scale necessarily involves including a proportion of population who are effectively urban under ‘regional-rural’ LACs, and vice versa. </w:t>
      </w:r>
    </w:p>
    <w:p w14:paraId="2021372A" w14:textId="2C2787E7" w:rsidR="002B3A74" w:rsidRDefault="002B3A74" w:rsidP="002B3A74">
      <w:pPr>
        <w:pStyle w:val="Heading3"/>
      </w:pPr>
      <w:r>
        <w:t>Conclusion (150 words)</w:t>
      </w:r>
    </w:p>
    <w:p w14:paraId="03956371" w14:textId="15149436" w:rsidR="002B3A74" w:rsidRDefault="002B3A74" w:rsidP="002B3A74"/>
    <w:p w14:paraId="51868AE5" w14:textId="0E9B223B" w:rsidR="002B3A74" w:rsidRDefault="002B3A74" w:rsidP="002B3A74">
      <w:r>
        <w:t>Text</w:t>
      </w:r>
    </w:p>
    <w:p w14:paraId="707CDE9D" w14:textId="01751B2F" w:rsidR="002B3A74" w:rsidRDefault="002B3A74" w:rsidP="002B3A74"/>
    <w:p w14:paraId="04A08E27" w14:textId="5D82114B" w:rsidR="002B3A74" w:rsidRDefault="002B3A74" w:rsidP="004B4980">
      <w:pPr>
        <w:pStyle w:val="Heading3"/>
      </w:pPr>
      <w:r>
        <w:t>Appendix A</w:t>
      </w:r>
    </w:p>
    <w:p w14:paraId="61DE632E" w14:textId="77777777" w:rsidR="004B4980" w:rsidRPr="004B4980" w:rsidRDefault="004B4980" w:rsidP="004B4980"/>
    <w:p w14:paraId="5DDB5929" w14:textId="143B6E5D" w:rsidR="002B3A74" w:rsidRDefault="002B3A74" w:rsidP="002B3A74">
      <w:pPr>
        <w:rPr>
          <w:b/>
          <w:bCs/>
        </w:rPr>
      </w:pPr>
      <w:r w:rsidRPr="002B3A74">
        <w:rPr>
          <w:b/>
          <w:bCs/>
        </w:rPr>
        <w:t>Abbreviations</w:t>
      </w:r>
    </w:p>
    <w:tbl>
      <w:tblPr>
        <w:tblStyle w:val="TableGrid"/>
        <w:tblW w:w="0" w:type="auto"/>
        <w:tblLook w:val="04A0" w:firstRow="1" w:lastRow="0" w:firstColumn="1" w:lastColumn="0" w:noHBand="0" w:noVBand="1"/>
      </w:tblPr>
      <w:tblGrid>
        <w:gridCol w:w="1980"/>
        <w:gridCol w:w="7036"/>
      </w:tblGrid>
      <w:tr w:rsidR="002B3A74" w14:paraId="4D4A5F0B" w14:textId="77777777" w:rsidTr="002B3A74">
        <w:tc>
          <w:tcPr>
            <w:tcW w:w="1980" w:type="dxa"/>
          </w:tcPr>
          <w:p w14:paraId="3069F1AF" w14:textId="27FC8BA4" w:rsidR="002B3A74" w:rsidRDefault="002B3A74" w:rsidP="002B3A74">
            <w:pPr>
              <w:rPr>
                <w:b/>
                <w:bCs/>
              </w:rPr>
            </w:pPr>
            <w:r>
              <w:rPr>
                <w:b/>
                <w:bCs/>
              </w:rPr>
              <w:t>LAC</w:t>
            </w:r>
          </w:p>
        </w:tc>
        <w:tc>
          <w:tcPr>
            <w:tcW w:w="7036" w:type="dxa"/>
          </w:tcPr>
          <w:p w14:paraId="6B699A1E" w14:textId="11D4F9CD" w:rsidR="002B3A74" w:rsidRPr="002B3A74" w:rsidRDefault="002B3A74" w:rsidP="002B3A74">
            <w:r>
              <w:t>Local authority: council</w:t>
            </w:r>
          </w:p>
        </w:tc>
      </w:tr>
      <w:tr w:rsidR="002B3A74" w14:paraId="33211406" w14:textId="77777777" w:rsidTr="002B3A74">
        <w:tc>
          <w:tcPr>
            <w:tcW w:w="1980" w:type="dxa"/>
          </w:tcPr>
          <w:p w14:paraId="392D036F" w14:textId="15AD5807" w:rsidR="002B3A74" w:rsidRDefault="002B3A74" w:rsidP="002B3A74">
            <w:pPr>
              <w:rPr>
                <w:b/>
                <w:bCs/>
              </w:rPr>
            </w:pPr>
            <w:r>
              <w:rPr>
                <w:b/>
                <w:bCs/>
              </w:rPr>
              <w:t>GUMCAD</w:t>
            </w:r>
          </w:p>
        </w:tc>
        <w:tc>
          <w:tcPr>
            <w:tcW w:w="7036" w:type="dxa"/>
          </w:tcPr>
          <w:p w14:paraId="0EE99C62" w14:textId="6914536E" w:rsidR="002B3A74" w:rsidRPr="002B3A74" w:rsidRDefault="002B3A74" w:rsidP="002B3A74">
            <w:r w:rsidRPr="002B3A74">
              <w:t>Genitourinary Medicine Clinic Activity Dataset</w:t>
            </w:r>
          </w:p>
        </w:tc>
      </w:tr>
      <w:tr w:rsidR="002B3A74" w14:paraId="60C2D45F" w14:textId="77777777" w:rsidTr="002B3A74">
        <w:tc>
          <w:tcPr>
            <w:tcW w:w="1980" w:type="dxa"/>
          </w:tcPr>
          <w:p w14:paraId="1709FB68" w14:textId="4C9EDB29" w:rsidR="002B3A74" w:rsidRDefault="002B3A74" w:rsidP="002B3A74">
            <w:pPr>
              <w:rPr>
                <w:b/>
                <w:bCs/>
              </w:rPr>
            </w:pPr>
            <w:r>
              <w:rPr>
                <w:b/>
                <w:bCs/>
              </w:rPr>
              <w:t>UKHSA</w:t>
            </w:r>
          </w:p>
        </w:tc>
        <w:tc>
          <w:tcPr>
            <w:tcW w:w="7036" w:type="dxa"/>
          </w:tcPr>
          <w:p w14:paraId="74FE745C" w14:textId="3F36F737" w:rsidR="002B3A74" w:rsidRPr="002B3A74" w:rsidRDefault="002B3A74" w:rsidP="002B3A74">
            <w:r>
              <w:t>United Kingdom Health Security Agency</w:t>
            </w:r>
          </w:p>
        </w:tc>
      </w:tr>
      <w:tr w:rsidR="00E55026" w14:paraId="00FFB2E2" w14:textId="77777777" w:rsidTr="002B3A74">
        <w:tc>
          <w:tcPr>
            <w:tcW w:w="1980" w:type="dxa"/>
          </w:tcPr>
          <w:p w14:paraId="2CDD40EE" w14:textId="0B911CF6" w:rsidR="00E55026" w:rsidRDefault="00E55026" w:rsidP="002B3A74">
            <w:pPr>
              <w:rPr>
                <w:b/>
                <w:bCs/>
              </w:rPr>
            </w:pPr>
            <w:r>
              <w:rPr>
                <w:b/>
                <w:bCs/>
              </w:rPr>
              <w:t>DEFRA</w:t>
            </w:r>
          </w:p>
        </w:tc>
        <w:tc>
          <w:tcPr>
            <w:tcW w:w="7036" w:type="dxa"/>
          </w:tcPr>
          <w:p w14:paraId="3F10C26D" w14:textId="714F05F7" w:rsidR="00E55026" w:rsidRDefault="00E55026" w:rsidP="002B3A74">
            <w:r>
              <w:t>Department of Environment, Food &amp; Rural Affairs</w:t>
            </w:r>
          </w:p>
        </w:tc>
      </w:tr>
      <w:tr w:rsidR="002B3A74" w14:paraId="63981F2C" w14:textId="77777777" w:rsidTr="002B3A74">
        <w:tc>
          <w:tcPr>
            <w:tcW w:w="1980" w:type="dxa"/>
          </w:tcPr>
          <w:p w14:paraId="2D5A3088" w14:textId="6D1A47A2" w:rsidR="002B3A74" w:rsidRDefault="002B3A74" w:rsidP="002B3A74">
            <w:pPr>
              <w:rPr>
                <w:b/>
                <w:bCs/>
              </w:rPr>
            </w:pPr>
            <w:r>
              <w:rPr>
                <w:b/>
                <w:bCs/>
              </w:rPr>
              <w:t>PHE</w:t>
            </w:r>
          </w:p>
        </w:tc>
        <w:tc>
          <w:tcPr>
            <w:tcW w:w="7036" w:type="dxa"/>
          </w:tcPr>
          <w:p w14:paraId="78049A15" w14:textId="3849DA79" w:rsidR="002B3A74" w:rsidRPr="002B3A74" w:rsidRDefault="002B3A74" w:rsidP="002B3A74">
            <w:r>
              <w:t>Public Health England</w:t>
            </w:r>
          </w:p>
        </w:tc>
      </w:tr>
      <w:tr w:rsidR="002B3A74" w14:paraId="743B24F7" w14:textId="77777777" w:rsidTr="002B3A74">
        <w:tc>
          <w:tcPr>
            <w:tcW w:w="1980" w:type="dxa"/>
          </w:tcPr>
          <w:p w14:paraId="69F8D217" w14:textId="49D0B99F" w:rsidR="002B3A74" w:rsidRDefault="002B3A74" w:rsidP="002B3A74">
            <w:pPr>
              <w:rPr>
                <w:b/>
                <w:bCs/>
              </w:rPr>
            </w:pPr>
            <w:r>
              <w:rPr>
                <w:b/>
                <w:bCs/>
              </w:rPr>
              <w:t>PrEP</w:t>
            </w:r>
          </w:p>
        </w:tc>
        <w:tc>
          <w:tcPr>
            <w:tcW w:w="7036" w:type="dxa"/>
          </w:tcPr>
          <w:p w14:paraId="09A0ADE0" w14:textId="566BC87A" w:rsidR="004B4980" w:rsidRDefault="002B3A74" w:rsidP="002B3A74">
            <w:r>
              <w:t>Pre-Exposure Prophyl</w:t>
            </w:r>
            <w:r w:rsidR="004B4980">
              <w:t>axis</w:t>
            </w:r>
          </w:p>
        </w:tc>
      </w:tr>
      <w:tr w:rsidR="004B4980" w14:paraId="5B7E8C0D" w14:textId="77777777" w:rsidTr="002B3A74">
        <w:tc>
          <w:tcPr>
            <w:tcW w:w="1980" w:type="dxa"/>
          </w:tcPr>
          <w:p w14:paraId="0FEF2F27" w14:textId="65BE6345" w:rsidR="004B4980" w:rsidRDefault="004B4980" w:rsidP="002B3A74">
            <w:pPr>
              <w:rPr>
                <w:b/>
                <w:bCs/>
              </w:rPr>
            </w:pPr>
            <w:r>
              <w:rPr>
                <w:b/>
                <w:bCs/>
              </w:rPr>
              <w:t>STI</w:t>
            </w:r>
          </w:p>
        </w:tc>
        <w:tc>
          <w:tcPr>
            <w:tcW w:w="7036" w:type="dxa"/>
          </w:tcPr>
          <w:p w14:paraId="65F0A1DD" w14:textId="5149F610" w:rsidR="004B4980" w:rsidRDefault="004B4980" w:rsidP="002B3A74">
            <w:r>
              <w:t>Sexually Transmitted Infection</w:t>
            </w:r>
          </w:p>
        </w:tc>
      </w:tr>
      <w:tr w:rsidR="004B4980" w14:paraId="37EB9F8B" w14:textId="77777777" w:rsidTr="002B3A74">
        <w:tc>
          <w:tcPr>
            <w:tcW w:w="1980" w:type="dxa"/>
          </w:tcPr>
          <w:p w14:paraId="70C2F03C" w14:textId="449C2D38" w:rsidR="004B4980" w:rsidRDefault="004B4980" w:rsidP="002B3A74">
            <w:pPr>
              <w:rPr>
                <w:b/>
                <w:bCs/>
              </w:rPr>
            </w:pPr>
            <w:r>
              <w:rPr>
                <w:b/>
                <w:bCs/>
              </w:rPr>
              <w:t>SHS</w:t>
            </w:r>
          </w:p>
        </w:tc>
        <w:tc>
          <w:tcPr>
            <w:tcW w:w="7036" w:type="dxa"/>
          </w:tcPr>
          <w:p w14:paraId="01872037" w14:textId="3802D154" w:rsidR="004B4980" w:rsidRDefault="004B4980" w:rsidP="002B3A74">
            <w:r>
              <w:t>Sexual Health Service</w:t>
            </w:r>
          </w:p>
        </w:tc>
      </w:tr>
      <w:tr w:rsidR="008655CA" w14:paraId="303BA099" w14:textId="77777777" w:rsidTr="002B3A74">
        <w:tc>
          <w:tcPr>
            <w:tcW w:w="1980" w:type="dxa"/>
          </w:tcPr>
          <w:p w14:paraId="7414FA4B" w14:textId="1236DD5B" w:rsidR="008655CA" w:rsidRDefault="008655CA" w:rsidP="002B3A74">
            <w:pPr>
              <w:rPr>
                <w:b/>
                <w:bCs/>
              </w:rPr>
            </w:pPr>
            <w:r>
              <w:rPr>
                <w:b/>
                <w:bCs/>
              </w:rPr>
              <w:t>NHS</w:t>
            </w:r>
          </w:p>
        </w:tc>
        <w:tc>
          <w:tcPr>
            <w:tcW w:w="7036" w:type="dxa"/>
          </w:tcPr>
          <w:p w14:paraId="63D2FCDD" w14:textId="0CA36723" w:rsidR="008655CA" w:rsidRDefault="008655CA" w:rsidP="002B3A74">
            <w:r>
              <w:t>National Health Service</w:t>
            </w:r>
          </w:p>
        </w:tc>
      </w:tr>
      <w:tr w:rsidR="008655CA" w14:paraId="06B949DC" w14:textId="77777777" w:rsidTr="002B3A74">
        <w:tc>
          <w:tcPr>
            <w:tcW w:w="1980" w:type="dxa"/>
          </w:tcPr>
          <w:p w14:paraId="5BBDC503" w14:textId="2BDF04E4" w:rsidR="008655CA" w:rsidRDefault="008655CA" w:rsidP="002B3A74">
            <w:pPr>
              <w:rPr>
                <w:b/>
                <w:bCs/>
              </w:rPr>
            </w:pPr>
            <w:r>
              <w:rPr>
                <w:b/>
                <w:bCs/>
              </w:rPr>
              <w:lastRenderedPageBreak/>
              <w:t>MSM</w:t>
            </w:r>
          </w:p>
        </w:tc>
        <w:tc>
          <w:tcPr>
            <w:tcW w:w="7036" w:type="dxa"/>
          </w:tcPr>
          <w:p w14:paraId="1A3BE47D" w14:textId="55F3075F" w:rsidR="008655CA" w:rsidRDefault="008655CA" w:rsidP="002B3A74">
            <w:r>
              <w:t>Men who have sex with men</w:t>
            </w:r>
          </w:p>
        </w:tc>
      </w:tr>
      <w:tr w:rsidR="008655CA" w14:paraId="48EEB911" w14:textId="77777777" w:rsidTr="002B3A74">
        <w:tc>
          <w:tcPr>
            <w:tcW w:w="1980" w:type="dxa"/>
          </w:tcPr>
          <w:p w14:paraId="122370DE" w14:textId="07F57CA3" w:rsidR="008655CA" w:rsidRDefault="008655CA" w:rsidP="002B3A74">
            <w:pPr>
              <w:rPr>
                <w:b/>
                <w:bCs/>
              </w:rPr>
            </w:pPr>
            <w:r>
              <w:rPr>
                <w:b/>
                <w:bCs/>
              </w:rPr>
              <w:t>PWID</w:t>
            </w:r>
          </w:p>
        </w:tc>
        <w:tc>
          <w:tcPr>
            <w:tcW w:w="7036" w:type="dxa"/>
          </w:tcPr>
          <w:p w14:paraId="74ADC1BF" w14:textId="1B84B6D8" w:rsidR="008655CA" w:rsidRDefault="008655CA" w:rsidP="002B3A74">
            <w:r>
              <w:t>People who inject drugs</w:t>
            </w:r>
          </w:p>
        </w:tc>
      </w:tr>
    </w:tbl>
    <w:p w14:paraId="470592E4" w14:textId="247641FF" w:rsidR="002B3A74" w:rsidRPr="002B3A74" w:rsidRDefault="002B3A74" w:rsidP="002B3A74">
      <w:pPr>
        <w:rPr>
          <w:b/>
          <w:bCs/>
        </w:rPr>
      </w:pPr>
    </w:p>
    <w:p w14:paraId="19DA079B" w14:textId="1BE15995" w:rsidR="002B3A74" w:rsidRDefault="004B4980" w:rsidP="004B4980">
      <w:pPr>
        <w:pStyle w:val="Heading3"/>
      </w:pPr>
      <w:r>
        <w:t>Appendix B</w:t>
      </w:r>
    </w:p>
    <w:p w14:paraId="2F365A6F" w14:textId="53381BBB" w:rsidR="004B4980" w:rsidRDefault="004B4980" w:rsidP="004B4980"/>
    <w:p w14:paraId="2A8CB2BF" w14:textId="7AB8EFE0" w:rsidR="004B4980" w:rsidRDefault="00E55026" w:rsidP="004B4980">
      <w:r>
        <w:t>[Include table on determining PrEP need indicator]</w:t>
      </w:r>
    </w:p>
    <w:p w14:paraId="23D74CC1" w14:textId="15A83CA4" w:rsidR="00891BC0" w:rsidRDefault="00891BC0" w:rsidP="004B4980"/>
    <w:p w14:paraId="722B1FB7" w14:textId="194D0194" w:rsidR="00891BC0" w:rsidRDefault="00891BC0" w:rsidP="00891BC0">
      <w:pPr>
        <w:pStyle w:val="Heading3"/>
      </w:pPr>
      <w:r>
        <w:t>Bibliography</w:t>
      </w:r>
    </w:p>
    <w:p w14:paraId="3A424E80" w14:textId="1CCA6622" w:rsidR="00891BC0" w:rsidRDefault="00891BC0" w:rsidP="00891BC0"/>
    <w:p w14:paraId="1BBCF3D4" w14:textId="7BFB175D" w:rsidR="00891BC0" w:rsidRPr="00A83FF7" w:rsidRDefault="00891BC0" w:rsidP="00891BC0">
      <w:pPr>
        <w:pStyle w:val="ListParagraph"/>
        <w:numPr>
          <w:ilvl w:val="0"/>
          <w:numId w:val="11"/>
        </w:numPr>
      </w:pPr>
      <w:r w:rsidRPr="002B3A74">
        <w:rPr>
          <w:color w:val="0070C0"/>
        </w:rPr>
        <w:t>@</w:t>
      </w:r>
      <w:proofErr w:type="gramStart"/>
      <w:r w:rsidRPr="002B3A74">
        <w:rPr>
          <w:color w:val="0070C0"/>
        </w:rPr>
        <w:t>ukhsa</w:t>
      </w:r>
      <w:proofErr w:type="gramEnd"/>
      <w:r w:rsidRPr="002B3A74">
        <w:rPr>
          <w:color w:val="0070C0"/>
        </w:rPr>
        <w:t>-framework</w:t>
      </w:r>
    </w:p>
    <w:p w14:paraId="6ABC454A" w14:textId="075F55FF" w:rsidR="00A83FF7" w:rsidRPr="00A83FF7" w:rsidRDefault="00A83FF7" w:rsidP="00A83FF7">
      <w:pPr>
        <w:pStyle w:val="ListParagraph"/>
        <w:numPr>
          <w:ilvl w:val="0"/>
          <w:numId w:val="11"/>
        </w:numPr>
      </w:pPr>
      <w:r w:rsidRPr="00495C82">
        <w:rPr>
          <w:color w:val="0070C0"/>
        </w:rPr>
        <w:t>@</w:t>
      </w:r>
      <w:proofErr w:type="gramStart"/>
      <w:r w:rsidRPr="00495C82">
        <w:rPr>
          <w:color w:val="0070C0"/>
        </w:rPr>
        <w:t>ukhealth</w:t>
      </w:r>
      <w:proofErr w:type="gramEnd"/>
      <w:r w:rsidRPr="00495C82">
        <w:rPr>
          <w:color w:val="0070C0"/>
        </w:rPr>
        <w:t>-nhsstatement</w:t>
      </w:r>
    </w:p>
    <w:p w14:paraId="7FF3A71B" w14:textId="415EA541" w:rsidR="00A83FF7" w:rsidRPr="00891BC0" w:rsidRDefault="00A83FF7" w:rsidP="00891BC0">
      <w:pPr>
        <w:pStyle w:val="ListParagraph"/>
        <w:numPr>
          <w:ilvl w:val="0"/>
          <w:numId w:val="11"/>
        </w:numPr>
      </w:pPr>
      <w:bookmarkStart w:id="0" w:name="_Hlk124787211"/>
      <w:r w:rsidRPr="00A83FF7">
        <w:rPr>
          <w:color w:val="4472C4" w:themeColor="accent1"/>
        </w:rPr>
        <w:t>@</w:t>
      </w:r>
      <w:proofErr w:type="gramStart"/>
      <w:r w:rsidRPr="00A83FF7">
        <w:rPr>
          <w:color w:val="4472C4" w:themeColor="accent1"/>
        </w:rPr>
        <w:t>phe</w:t>
      </w:r>
      <w:proofErr w:type="gramEnd"/>
      <w:r w:rsidRPr="00A83FF7">
        <w:rPr>
          <w:color w:val="4472C4" w:themeColor="accent1"/>
        </w:rPr>
        <w:t>-framework</w:t>
      </w:r>
    </w:p>
    <w:bookmarkEnd w:id="0"/>
    <w:p w14:paraId="7A2121DB" w14:textId="7D6C1395" w:rsidR="00891BC0" w:rsidRPr="00022AD8" w:rsidRDefault="00891BC0" w:rsidP="00891BC0">
      <w:pPr>
        <w:pStyle w:val="ListParagraph"/>
        <w:numPr>
          <w:ilvl w:val="0"/>
          <w:numId w:val="11"/>
        </w:numPr>
      </w:pPr>
      <w:r w:rsidRPr="00891BC0">
        <w:rPr>
          <w:color w:val="0070C0"/>
        </w:rPr>
        <w:t>@</w:t>
      </w:r>
      <w:proofErr w:type="gramStart"/>
      <w:r w:rsidRPr="00891BC0">
        <w:rPr>
          <w:color w:val="0070C0"/>
        </w:rPr>
        <w:t>defra</w:t>
      </w:r>
      <w:proofErr w:type="gramEnd"/>
      <w:r w:rsidRPr="00891BC0">
        <w:rPr>
          <w:color w:val="0070C0"/>
        </w:rPr>
        <w:t>-ruralurban</w:t>
      </w:r>
    </w:p>
    <w:p w14:paraId="36383749" w14:textId="25ADC49C" w:rsidR="00022AD8" w:rsidRPr="000D339B" w:rsidRDefault="00022AD8" w:rsidP="00891BC0">
      <w:pPr>
        <w:pStyle w:val="ListParagraph"/>
        <w:numPr>
          <w:ilvl w:val="0"/>
          <w:numId w:val="11"/>
        </w:numPr>
      </w:pPr>
      <w:r w:rsidRPr="00022AD8">
        <w:rPr>
          <w:color w:val="4472C4" w:themeColor="accent1"/>
        </w:rPr>
        <w:t>@</w:t>
      </w:r>
      <w:proofErr w:type="gramStart"/>
      <w:r w:rsidRPr="00022AD8">
        <w:rPr>
          <w:color w:val="4472C4" w:themeColor="accent1"/>
        </w:rPr>
        <w:t>wich</w:t>
      </w:r>
      <w:proofErr w:type="gramEnd"/>
      <w:r w:rsidRPr="00022AD8">
        <w:rPr>
          <w:color w:val="4472C4" w:themeColor="accent1"/>
        </w:rPr>
        <w:t>-monitoringtool</w:t>
      </w:r>
    </w:p>
    <w:p w14:paraId="3503C178" w14:textId="6C21E6BE" w:rsidR="000D339B" w:rsidRPr="00BD7621" w:rsidRDefault="000D339B" w:rsidP="00891BC0">
      <w:pPr>
        <w:pStyle w:val="ListParagraph"/>
        <w:numPr>
          <w:ilvl w:val="0"/>
          <w:numId w:val="11"/>
        </w:numPr>
      </w:pPr>
      <w:r w:rsidRPr="000D339B">
        <w:rPr>
          <w:color w:val="4472C4" w:themeColor="accent1"/>
        </w:rPr>
        <w:t>@hammoud2019-aus</w:t>
      </w:r>
    </w:p>
    <w:p w14:paraId="3AA4F666" w14:textId="658D77D3" w:rsidR="00BD7621" w:rsidRPr="00A83FF7" w:rsidRDefault="00BD7621" w:rsidP="00891BC0">
      <w:pPr>
        <w:pStyle w:val="ListParagraph"/>
        <w:numPr>
          <w:ilvl w:val="0"/>
          <w:numId w:val="11"/>
        </w:numPr>
      </w:pPr>
      <w:r w:rsidRPr="00BD7621">
        <w:rPr>
          <w:color w:val="4472C4" w:themeColor="accent1"/>
        </w:rPr>
        <w:t>@lancethiv2017</w:t>
      </w:r>
    </w:p>
    <w:p w14:paraId="0822B885" w14:textId="18A04AAD" w:rsidR="00A83FF7" w:rsidRPr="005F6076" w:rsidRDefault="00A83FF7" w:rsidP="00891BC0">
      <w:pPr>
        <w:pStyle w:val="ListParagraph"/>
        <w:numPr>
          <w:ilvl w:val="0"/>
          <w:numId w:val="11"/>
        </w:numPr>
      </w:pPr>
      <w:r w:rsidRPr="00A83FF7">
        <w:rPr>
          <w:color w:val="4472C4" w:themeColor="accent1"/>
        </w:rPr>
        <w:t>@molina2017-efficacy</w:t>
      </w:r>
    </w:p>
    <w:p w14:paraId="585D8A6A" w14:textId="1793EDDC" w:rsidR="005F6076" w:rsidRPr="005F6076" w:rsidRDefault="005F6076" w:rsidP="00891BC0">
      <w:pPr>
        <w:pStyle w:val="ListParagraph"/>
        <w:numPr>
          <w:ilvl w:val="0"/>
          <w:numId w:val="11"/>
        </w:numPr>
        <w:rPr>
          <w:color w:val="4472C4" w:themeColor="accent1"/>
        </w:rPr>
      </w:pPr>
      <w:r w:rsidRPr="005F6076">
        <w:rPr>
          <w:color w:val="4472C4" w:themeColor="accent1"/>
        </w:rPr>
        <w:t>@mwaturura2021-barriers</w:t>
      </w:r>
    </w:p>
    <w:p w14:paraId="6BA7175B" w14:textId="04452A63" w:rsidR="00A83FF7" w:rsidRPr="0037642D" w:rsidRDefault="00A83FF7" w:rsidP="00A83FF7">
      <w:pPr>
        <w:pStyle w:val="ListParagraph"/>
        <w:numPr>
          <w:ilvl w:val="0"/>
          <w:numId w:val="11"/>
        </w:numPr>
      </w:pPr>
      <w:r w:rsidRPr="0037642D">
        <w:rPr>
          <w:color w:val="0070C0"/>
        </w:rPr>
        <w:t>@owens2022-gps</w:t>
      </w:r>
    </w:p>
    <w:p w14:paraId="60F1BC63" w14:textId="7DFCBDBD" w:rsidR="0037642D" w:rsidRPr="00BD7621" w:rsidRDefault="0037642D" w:rsidP="00891BC0">
      <w:pPr>
        <w:pStyle w:val="ListParagraph"/>
        <w:numPr>
          <w:ilvl w:val="0"/>
          <w:numId w:val="11"/>
        </w:numPr>
      </w:pPr>
      <w:r w:rsidRPr="0037642D">
        <w:rPr>
          <w:color w:val="0070C0"/>
        </w:rPr>
        <w:t>@petroll2017</w:t>
      </w:r>
    </w:p>
    <w:p w14:paraId="640803E1" w14:textId="08AFDB83" w:rsidR="00BD7621" w:rsidRPr="00BD7621" w:rsidRDefault="00BD7621" w:rsidP="00891BC0">
      <w:pPr>
        <w:pStyle w:val="ListParagraph"/>
        <w:numPr>
          <w:ilvl w:val="0"/>
          <w:numId w:val="11"/>
        </w:numPr>
      </w:pPr>
      <w:r>
        <w:rPr>
          <w:color w:val="4472C4" w:themeColor="accent1"/>
        </w:rPr>
        <w:t>@rossiter2021-urbanicity</w:t>
      </w:r>
    </w:p>
    <w:p w14:paraId="5D84F4D9" w14:textId="50B214E1" w:rsidR="00BD7621" w:rsidRPr="00BD7621" w:rsidRDefault="00BD7621" w:rsidP="00891BC0">
      <w:pPr>
        <w:pStyle w:val="ListParagraph"/>
        <w:numPr>
          <w:ilvl w:val="0"/>
          <w:numId w:val="11"/>
        </w:numPr>
      </w:pPr>
      <w:r w:rsidRPr="00BD7621">
        <w:rPr>
          <w:color w:val="4472C4" w:themeColor="accent1"/>
        </w:rPr>
        <w:t>@</w:t>
      </w:r>
      <w:r>
        <w:rPr>
          <w:color w:val="4472C4" w:themeColor="accent1"/>
        </w:rPr>
        <w:t>walters2022-pwid</w:t>
      </w:r>
    </w:p>
    <w:p w14:paraId="2E8AB090" w14:textId="19A45264" w:rsidR="00BD7621" w:rsidRPr="0037642D" w:rsidRDefault="00BD7621" w:rsidP="00891BC0">
      <w:pPr>
        <w:pStyle w:val="ListParagraph"/>
        <w:numPr>
          <w:ilvl w:val="0"/>
          <w:numId w:val="11"/>
        </w:numPr>
      </w:pPr>
      <w:r>
        <w:rPr>
          <w:color w:val="4472C4" w:themeColor="accent1"/>
        </w:rPr>
        <w:t>@wang2022-netherlands</w:t>
      </w:r>
    </w:p>
    <w:sectPr w:rsidR="00BD7621" w:rsidRPr="003764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27CD8"/>
    <w:multiLevelType w:val="hybridMultilevel"/>
    <w:tmpl w:val="0FA6BF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DB0554"/>
    <w:multiLevelType w:val="hybridMultilevel"/>
    <w:tmpl w:val="86D29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4F4703"/>
    <w:multiLevelType w:val="hybridMultilevel"/>
    <w:tmpl w:val="2360A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7062A1"/>
    <w:multiLevelType w:val="hybridMultilevel"/>
    <w:tmpl w:val="9C3E60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C934D3"/>
    <w:multiLevelType w:val="hybridMultilevel"/>
    <w:tmpl w:val="D9227604"/>
    <w:lvl w:ilvl="0" w:tplc="F3FA7B48">
      <w:numFmt w:val="bullet"/>
      <w:lvlText w:val="-"/>
      <w:lvlJc w:val="left"/>
      <w:pPr>
        <w:ind w:left="360" w:hanging="360"/>
      </w:pPr>
      <w:rPr>
        <w:rFonts w:ascii="Arial" w:eastAsiaTheme="minorEastAsia"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240388D"/>
    <w:multiLevelType w:val="hybridMultilevel"/>
    <w:tmpl w:val="4A02C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6412CA"/>
    <w:multiLevelType w:val="hybridMultilevel"/>
    <w:tmpl w:val="F1620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C64EA7"/>
    <w:multiLevelType w:val="hybridMultilevel"/>
    <w:tmpl w:val="32D43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47116EC"/>
    <w:multiLevelType w:val="hybridMultilevel"/>
    <w:tmpl w:val="CECE59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062324C"/>
    <w:multiLevelType w:val="hybridMultilevel"/>
    <w:tmpl w:val="A7922A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E710045"/>
    <w:multiLevelType w:val="hybridMultilevel"/>
    <w:tmpl w:val="D0B2B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2801879">
    <w:abstractNumId w:val="2"/>
  </w:num>
  <w:num w:numId="2" w16cid:durableId="721709414">
    <w:abstractNumId w:val="3"/>
  </w:num>
  <w:num w:numId="3" w16cid:durableId="1819571016">
    <w:abstractNumId w:val="10"/>
  </w:num>
  <w:num w:numId="4" w16cid:durableId="495920517">
    <w:abstractNumId w:val="0"/>
  </w:num>
  <w:num w:numId="5" w16cid:durableId="1691027586">
    <w:abstractNumId w:val="5"/>
  </w:num>
  <w:num w:numId="6" w16cid:durableId="1115101120">
    <w:abstractNumId w:val="8"/>
  </w:num>
  <w:num w:numId="7" w16cid:durableId="2059545312">
    <w:abstractNumId w:val="7"/>
  </w:num>
  <w:num w:numId="8" w16cid:durableId="1826318471">
    <w:abstractNumId w:val="9"/>
  </w:num>
  <w:num w:numId="9" w16cid:durableId="1691641178">
    <w:abstractNumId w:val="4"/>
  </w:num>
  <w:num w:numId="10" w16cid:durableId="850797258">
    <w:abstractNumId w:val="6"/>
  </w:num>
  <w:num w:numId="11" w16cid:durableId="113066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76"/>
    <w:rsid w:val="00014845"/>
    <w:rsid w:val="00022AD8"/>
    <w:rsid w:val="00056203"/>
    <w:rsid w:val="000661A5"/>
    <w:rsid w:val="00091673"/>
    <w:rsid w:val="000933C8"/>
    <w:rsid w:val="000B2E87"/>
    <w:rsid w:val="000D339B"/>
    <w:rsid w:val="000F5982"/>
    <w:rsid w:val="001750F5"/>
    <w:rsid w:val="001827B8"/>
    <w:rsid w:val="002049FD"/>
    <w:rsid w:val="00216E72"/>
    <w:rsid w:val="002B3A74"/>
    <w:rsid w:val="002C7B3B"/>
    <w:rsid w:val="00341784"/>
    <w:rsid w:val="0037614E"/>
    <w:rsid w:val="0037642D"/>
    <w:rsid w:val="00376FC0"/>
    <w:rsid w:val="003D2CB2"/>
    <w:rsid w:val="004132AB"/>
    <w:rsid w:val="00416CFA"/>
    <w:rsid w:val="004578B7"/>
    <w:rsid w:val="004619B3"/>
    <w:rsid w:val="00495C82"/>
    <w:rsid w:val="004B4980"/>
    <w:rsid w:val="004D1CC8"/>
    <w:rsid w:val="004D254F"/>
    <w:rsid w:val="00566CF0"/>
    <w:rsid w:val="005904A8"/>
    <w:rsid w:val="00591FCA"/>
    <w:rsid w:val="005F6076"/>
    <w:rsid w:val="00630AE6"/>
    <w:rsid w:val="0064375C"/>
    <w:rsid w:val="00720FEC"/>
    <w:rsid w:val="007F790C"/>
    <w:rsid w:val="00860B6A"/>
    <w:rsid w:val="008655CA"/>
    <w:rsid w:val="00866C21"/>
    <w:rsid w:val="00891BC0"/>
    <w:rsid w:val="00977597"/>
    <w:rsid w:val="009E3265"/>
    <w:rsid w:val="00A42B3C"/>
    <w:rsid w:val="00A83FF7"/>
    <w:rsid w:val="00AD5AAD"/>
    <w:rsid w:val="00B22899"/>
    <w:rsid w:val="00B32147"/>
    <w:rsid w:val="00B52465"/>
    <w:rsid w:val="00B95F99"/>
    <w:rsid w:val="00BD7621"/>
    <w:rsid w:val="00BF0799"/>
    <w:rsid w:val="00C27676"/>
    <w:rsid w:val="00C47771"/>
    <w:rsid w:val="00C53627"/>
    <w:rsid w:val="00C67A65"/>
    <w:rsid w:val="00DD66AB"/>
    <w:rsid w:val="00E55026"/>
    <w:rsid w:val="00E5621E"/>
    <w:rsid w:val="00E73F17"/>
    <w:rsid w:val="00E77587"/>
    <w:rsid w:val="00EA53B2"/>
    <w:rsid w:val="00F15C1D"/>
    <w:rsid w:val="00F3280D"/>
    <w:rsid w:val="00F854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C261"/>
  <w15:chartTrackingRefBased/>
  <w15:docId w15:val="{7210EEF1-12C1-4DB0-9286-EFB4F2C6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676"/>
  </w:style>
  <w:style w:type="paragraph" w:styleId="Heading1">
    <w:name w:val="heading 1"/>
    <w:basedOn w:val="Normal"/>
    <w:next w:val="Normal"/>
    <w:link w:val="Heading1Char"/>
    <w:uiPriority w:val="9"/>
    <w:qFormat/>
    <w:rsid w:val="00C2767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C2767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C27676"/>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C27676"/>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C27676"/>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C2767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2767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2767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27676"/>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67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C2767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C27676"/>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C2767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C2767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C2767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27676"/>
    <w:rPr>
      <w:i/>
      <w:iCs/>
    </w:rPr>
  </w:style>
  <w:style w:type="character" w:customStyle="1" w:styleId="Heading8Char">
    <w:name w:val="Heading 8 Char"/>
    <w:basedOn w:val="DefaultParagraphFont"/>
    <w:link w:val="Heading8"/>
    <w:uiPriority w:val="9"/>
    <w:semiHidden/>
    <w:rsid w:val="00C27676"/>
    <w:rPr>
      <w:b/>
      <w:bCs/>
    </w:rPr>
  </w:style>
  <w:style w:type="character" w:customStyle="1" w:styleId="Heading9Char">
    <w:name w:val="Heading 9 Char"/>
    <w:basedOn w:val="DefaultParagraphFont"/>
    <w:link w:val="Heading9"/>
    <w:uiPriority w:val="9"/>
    <w:semiHidden/>
    <w:rsid w:val="00C27676"/>
    <w:rPr>
      <w:i/>
      <w:iCs/>
    </w:rPr>
  </w:style>
  <w:style w:type="paragraph" w:styleId="Caption">
    <w:name w:val="caption"/>
    <w:basedOn w:val="Normal"/>
    <w:next w:val="Normal"/>
    <w:uiPriority w:val="35"/>
    <w:unhideWhenUsed/>
    <w:qFormat/>
    <w:rsid w:val="00C27676"/>
    <w:rPr>
      <w:b/>
      <w:bCs/>
      <w:sz w:val="18"/>
      <w:szCs w:val="18"/>
    </w:rPr>
  </w:style>
  <w:style w:type="paragraph" w:styleId="Title">
    <w:name w:val="Title"/>
    <w:basedOn w:val="Normal"/>
    <w:next w:val="Normal"/>
    <w:link w:val="TitleChar"/>
    <w:uiPriority w:val="10"/>
    <w:qFormat/>
    <w:rsid w:val="00C2767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2767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C2767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27676"/>
    <w:rPr>
      <w:rFonts w:asciiTheme="majorHAnsi" w:eastAsiaTheme="majorEastAsia" w:hAnsiTheme="majorHAnsi" w:cstheme="majorBidi"/>
      <w:sz w:val="24"/>
      <w:szCs w:val="24"/>
    </w:rPr>
  </w:style>
  <w:style w:type="character" w:styleId="Strong">
    <w:name w:val="Strong"/>
    <w:basedOn w:val="DefaultParagraphFont"/>
    <w:uiPriority w:val="22"/>
    <w:qFormat/>
    <w:rsid w:val="00C27676"/>
    <w:rPr>
      <w:b/>
      <w:bCs/>
      <w:color w:val="auto"/>
    </w:rPr>
  </w:style>
  <w:style w:type="character" w:styleId="Emphasis">
    <w:name w:val="Emphasis"/>
    <w:basedOn w:val="DefaultParagraphFont"/>
    <w:uiPriority w:val="20"/>
    <w:qFormat/>
    <w:rsid w:val="00C27676"/>
    <w:rPr>
      <w:i/>
      <w:iCs/>
      <w:color w:val="auto"/>
    </w:rPr>
  </w:style>
  <w:style w:type="paragraph" w:styleId="NoSpacing">
    <w:name w:val="No Spacing"/>
    <w:uiPriority w:val="1"/>
    <w:qFormat/>
    <w:rsid w:val="00C27676"/>
    <w:pPr>
      <w:spacing w:after="0" w:line="240" w:lineRule="auto"/>
    </w:pPr>
  </w:style>
  <w:style w:type="paragraph" w:styleId="Quote">
    <w:name w:val="Quote"/>
    <w:basedOn w:val="Normal"/>
    <w:next w:val="Normal"/>
    <w:link w:val="QuoteChar"/>
    <w:uiPriority w:val="29"/>
    <w:qFormat/>
    <w:rsid w:val="00C2767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C2767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2767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2767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27676"/>
    <w:rPr>
      <w:i/>
      <w:iCs/>
      <w:color w:val="auto"/>
    </w:rPr>
  </w:style>
  <w:style w:type="character" w:styleId="IntenseEmphasis">
    <w:name w:val="Intense Emphasis"/>
    <w:basedOn w:val="DefaultParagraphFont"/>
    <w:uiPriority w:val="21"/>
    <w:qFormat/>
    <w:rsid w:val="00C27676"/>
    <w:rPr>
      <w:b/>
      <w:bCs/>
      <w:i/>
      <w:iCs/>
      <w:color w:val="auto"/>
    </w:rPr>
  </w:style>
  <w:style w:type="character" w:styleId="SubtleReference">
    <w:name w:val="Subtle Reference"/>
    <w:basedOn w:val="DefaultParagraphFont"/>
    <w:uiPriority w:val="31"/>
    <w:qFormat/>
    <w:rsid w:val="00C27676"/>
    <w:rPr>
      <w:smallCaps/>
      <w:color w:val="auto"/>
      <w:u w:val="single" w:color="7F7F7F" w:themeColor="text1" w:themeTint="80"/>
    </w:rPr>
  </w:style>
  <w:style w:type="character" w:styleId="IntenseReference">
    <w:name w:val="Intense Reference"/>
    <w:basedOn w:val="DefaultParagraphFont"/>
    <w:uiPriority w:val="32"/>
    <w:qFormat/>
    <w:rsid w:val="00C27676"/>
    <w:rPr>
      <w:b/>
      <w:bCs/>
      <w:smallCaps/>
      <w:color w:val="auto"/>
      <w:u w:val="single"/>
    </w:rPr>
  </w:style>
  <w:style w:type="character" w:styleId="BookTitle">
    <w:name w:val="Book Title"/>
    <w:basedOn w:val="DefaultParagraphFont"/>
    <w:uiPriority w:val="33"/>
    <w:qFormat/>
    <w:rsid w:val="00C27676"/>
    <w:rPr>
      <w:b/>
      <w:bCs/>
      <w:smallCaps/>
      <w:color w:val="auto"/>
    </w:rPr>
  </w:style>
  <w:style w:type="paragraph" w:styleId="TOCHeading">
    <w:name w:val="TOC Heading"/>
    <w:basedOn w:val="Heading1"/>
    <w:next w:val="Normal"/>
    <w:uiPriority w:val="39"/>
    <w:semiHidden/>
    <w:unhideWhenUsed/>
    <w:qFormat/>
    <w:rsid w:val="00C27676"/>
    <w:pPr>
      <w:outlineLvl w:val="9"/>
    </w:pPr>
  </w:style>
  <w:style w:type="paragraph" w:styleId="ListParagraph">
    <w:name w:val="List Paragraph"/>
    <w:basedOn w:val="Normal"/>
    <w:uiPriority w:val="34"/>
    <w:qFormat/>
    <w:rsid w:val="00C27676"/>
    <w:pPr>
      <w:ind w:left="720"/>
      <w:contextualSpacing/>
    </w:pPr>
  </w:style>
  <w:style w:type="table" w:styleId="TableGrid">
    <w:name w:val="Table Grid"/>
    <w:basedOn w:val="TableNormal"/>
    <w:uiPriority w:val="39"/>
    <w:rsid w:val="00066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61A5"/>
    <w:rPr>
      <w:color w:val="0563C1" w:themeColor="hyperlink"/>
      <w:u w:val="single"/>
    </w:rPr>
  </w:style>
  <w:style w:type="character" w:styleId="UnresolvedMention">
    <w:name w:val="Unresolved Mention"/>
    <w:basedOn w:val="DefaultParagraphFont"/>
    <w:uiPriority w:val="99"/>
    <w:semiHidden/>
    <w:unhideWhenUsed/>
    <w:rsid w:val="000661A5"/>
    <w:rPr>
      <w:color w:val="605E5C"/>
      <w:shd w:val="clear" w:color="auto" w:fill="E1DFDD"/>
    </w:rPr>
  </w:style>
  <w:style w:type="character" w:styleId="CommentReference">
    <w:name w:val="annotation reference"/>
    <w:basedOn w:val="DefaultParagraphFont"/>
    <w:uiPriority w:val="99"/>
    <w:semiHidden/>
    <w:unhideWhenUsed/>
    <w:rsid w:val="001750F5"/>
    <w:rPr>
      <w:sz w:val="16"/>
      <w:szCs w:val="16"/>
    </w:rPr>
  </w:style>
  <w:style w:type="paragraph" w:styleId="CommentText">
    <w:name w:val="annotation text"/>
    <w:basedOn w:val="Normal"/>
    <w:link w:val="CommentTextChar"/>
    <w:uiPriority w:val="99"/>
    <w:unhideWhenUsed/>
    <w:rsid w:val="001750F5"/>
    <w:pPr>
      <w:spacing w:line="240" w:lineRule="auto"/>
    </w:pPr>
    <w:rPr>
      <w:sz w:val="20"/>
      <w:szCs w:val="20"/>
    </w:rPr>
  </w:style>
  <w:style w:type="character" w:customStyle="1" w:styleId="CommentTextChar">
    <w:name w:val="Comment Text Char"/>
    <w:basedOn w:val="DefaultParagraphFont"/>
    <w:link w:val="CommentText"/>
    <w:uiPriority w:val="99"/>
    <w:rsid w:val="001750F5"/>
    <w:rPr>
      <w:sz w:val="20"/>
      <w:szCs w:val="20"/>
    </w:rPr>
  </w:style>
  <w:style w:type="paragraph" w:styleId="CommentSubject">
    <w:name w:val="annotation subject"/>
    <w:basedOn w:val="CommentText"/>
    <w:next w:val="CommentText"/>
    <w:link w:val="CommentSubjectChar"/>
    <w:uiPriority w:val="99"/>
    <w:semiHidden/>
    <w:unhideWhenUsed/>
    <w:rsid w:val="001750F5"/>
    <w:rPr>
      <w:b/>
      <w:bCs/>
    </w:rPr>
  </w:style>
  <w:style w:type="character" w:customStyle="1" w:styleId="CommentSubjectChar">
    <w:name w:val="Comment Subject Char"/>
    <w:basedOn w:val="CommentTextChar"/>
    <w:link w:val="CommentSubject"/>
    <w:uiPriority w:val="99"/>
    <w:semiHidden/>
    <w:rsid w:val="001750F5"/>
    <w:rPr>
      <w:b/>
      <w:bCs/>
      <w:sz w:val="20"/>
      <w:szCs w:val="20"/>
    </w:rPr>
  </w:style>
  <w:style w:type="character" w:styleId="FollowedHyperlink">
    <w:name w:val="FollowedHyperlink"/>
    <w:basedOn w:val="DefaultParagraphFont"/>
    <w:uiPriority w:val="99"/>
    <w:semiHidden/>
    <w:unhideWhenUsed/>
    <w:rsid w:val="00B228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093217">
      <w:bodyDiv w:val="1"/>
      <w:marLeft w:val="0"/>
      <w:marRight w:val="0"/>
      <w:marTop w:val="0"/>
      <w:marBottom w:val="0"/>
      <w:divBdr>
        <w:top w:val="none" w:sz="0" w:space="0" w:color="auto"/>
        <w:left w:val="none" w:sz="0" w:space="0" w:color="auto"/>
        <w:bottom w:val="none" w:sz="0" w:space="0" w:color="auto"/>
        <w:right w:val="none" w:sz="0" w:space="0" w:color="auto"/>
      </w:divBdr>
      <w:divsChild>
        <w:div w:id="11104810">
          <w:marLeft w:val="480"/>
          <w:marRight w:val="0"/>
          <w:marTop w:val="0"/>
          <w:marBottom w:val="0"/>
          <w:divBdr>
            <w:top w:val="none" w:sz="0" w:space="0" w:color="auto"/>
            <w:left w:val="none" w:sz="0" w:space="0" w:color="auto"/>
            <w:bottom w:val="none" w:sz="0" w:space="0" w:color="auto"/>
            <w:right w:val="none" w:sz="0" w:space="0" w:color="auto"/>
          </w:divBdr>
          <w:divsChild>
            <w:div w:id="12954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0A7FF-DE3B-429F-BF31-896750CAA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4</Pages>
  <Words>1153</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P</dc:creator>
  <cp:keywords/>
  <dc:description/>
  <cp:lastModifiedBy>Joe P</cp:lastModifiedBy>
  <cp:revision>16</cp:revision>
  <dcterms:created xsi:type="dcterms:W3CDTF">2022-12-26T16:31:00Z</dcterms:created>
  <dcterms:modified xsi:type="dcterms:W3CDTF">2023-01-16T19:18:00Z</dcterms:modified>
</cp:coreProperties>
</file>