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5F72C09E" w14:textId="2C2749DE" w:rsidR="001F6D0B"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5144976" w:history="1">
            <w:r w:rsidR="001F6D0B" w:rsidRPr="00DF0AB9">
              <w:rPr>
                <w:rStyle w:val="Hyperlink"/>
                <w:noProof/>
              </w:rPr>
              <w:t>Reference Title (Template)</w:t>
            </w:r>
            <w:r w:rsidR="001F6D0B">
              <w:rPr>
                <w:noProof/>
                <w:webHidden/>
              </w:rPr>
              <w:tab/>
            </w:r>
            <w:r w:rsidR="001F6D0B">
              <w:rPr>
                <w:noProof/>
                <w:webHidden/>
              </w:rPr>
              <w:fldChar w:fldCharType="begin"/>
            </w:r>
            <w:r w:rsidR="001F6D0B">
              <w:rPr>
                <w:noProof/>
                <w:webHidden/>
              </w:rPr>
              <w:instrText xml:space="preserve"> PAGEREF _Toc135144976 \h </w:instrText>
            </w:r>
            <w:r w:rsidR="001F6D0B">
              <w:rPr>
                <w:noProof/>
                <w:webHidden/>
              </w:rPr>
            </w:r>
            <w:r w:rsidR="001F6D0B">
              <w:rPr>
                <w:noProof/>
                <w:webHidden/>
              </w:rPr>
              <w:fldChar w:fldCharType="separate"/>
            </w:r>
            <w:r w:rsidR="001F6D0B">
              <w:rPr>
                <w:noProof/>
                <w:webHidden/>
              </w:rPr>
              <w:t>2</w:t>
            </w:r>
            <w:r w:rsidR="001F6D0B">
              <w:rPr>
                <w:noProof/>
                <w:webHidden/>
              </w:rPr>
              <w:fldChar w:fldCharType="end"/>
            </w:r>
          </w:hyperlink>
        </w:p>
        <w:p w14:paraId="50545686" w14:textId="4A3A7EC3" w:rsidR="001F6D0B" w:rsidRDefault="001F6D0B">
          <w:pPr>
            <w:pStyle w:val="TOC2"/>
            <w:tabs>
              <w:tab w:val="right" w:leader="dot" w:pos="9016"/>
            </w:tabs>
            <w:rPr>
              <w:noProof/>
              <w:kern w:val="2"/>
              <w:lang w:eastAsia="en-GB"/>
              <w14:ligatures w14:val="standardContextual"/>
            </w:rPr>
          </w:pPr>
          <w:hyperlink w:anchor="_Toc135144977" w:history="1">
            <w:r w:rsidRPr="00DF0AB9">
              <w:rPr>
                <w:rStyle w:val="Hyperlink"/>
                <w:noProof/>
              </w:rPr>
              <w:t>Balk 2019 – Population and Urban Classification Grids for India 2011</w:t>
            </w:r>
            <w:r>
              <w:rPr>
                <w:noProof/>
                <w:webHidden/>
              </w:rPr>
              <w:tab/>
            </w:r>
            <w:r>
              <w:rPr>
                <w:noProof/>
                <w:webHidden/>
              </w:rPr>
              <w:fldChar w:fldCharType="begin"/>
            </w:r>
            <w:r>
              <w:rPr>
                <w:noProof/>
                <w:webHidden/>
              </w:rPr>
              <w:instrText xml:space="preserve"> PAGEREF _Toc135144977 \h </w:instrText>
            </w:r>
            <w:r>
              <w:rPr>
                <w:noProof/>
                <w:webHidden/>
              </w:rPr>
            </w:r>
            <w:r>
              <w:rPr>
                <w:noProof/>
                <w:webHidden/>
              </w:rPr>
              <w:fldChar w:fldCharType="separate"/>
            </w:r>
            <w:r>
              <w:rPr>
                <w:noProof/>
                <w:webHidden/>
              </w:rPr>
              <w:t>3</w:t>
            </w:r>
            <w:r>
              <w:rPr>
                <w:noProof/>
                <w:webHidden/>
              </w:rPr>
              <w:fldChar w:fldCharType="end"/>
            </w:r>
          </w:hyperlink>
        </w:p>
        <w:p w14:paraId="4E882673" w14:textId="1B322A85" w:rsidR="001F6D0B" w:rsidRDefault="001F6D0B">
          <w:pPr>
            <w:pStyle w:val="TOC2"/>
            <w:tabs>
              <w:tab w:val="right" w:leader="dot" w:pos="9016"/>
            </w:tabs>
            <w:rPr>
              <w:noProof/>
              <w:kern w:val="2"/>
              <w:lang w:eastAsia="en-GB"/>
              <w14:ligatures w14:val="standardContextual"/>
            </w:rPr>
          </w:pPr>
          <w:hyperlink w:anchor="_Toc135144978" w:history="1">
            <w:r w:rsidRPr="00DF0AB9">
              <w:rPr>
                <w:rStyle w:val="Hyperlink"/>
                <w:noProof/>
              </w:rPr>
              <w:t>Richardson 2013 – Spatial turn in health research</w:t>
            </w:r>
            <w:r>
              <w:rPr>
                <w:noProof/>
                <w:webHidden/>
              </w:rPr>
              <w:tab/>
            </w:r>
            <w:r>
              <w:rPr>
                <w:noProof/>
                <w:webHidden/>
              </w:rPr>
              <w:fldChar w:fldCharType="begin"/>
            </w:r>
            <w:r>
              <w:rPr>
                <w:noProof/>
                <w:webHidden/>
              </w:rPr>
              <w:instrText xml:space="preserve"> PAGEREF _Toc135144978 \h </w:instrText>
            </w:r>
            <w:r>
              <w:rPr>
                <w:noProof/>
                <w:webHidden/>
              </w:rPr>
            </w:r>
            <w:r>
              <w:rPr>
                <w:noProof/>
                <w:webHidden/>
              </w:rPr>
              <w:fldChar w:fldCharType="separate"/>
            </w:r>
            <w:r>
              <w:rPr>
                <w:noProof/>
                <w:webHidden/>
              </w:rPr>
              <w:t>4</w:t>
            </w:r>
            <w:r>
              <w:rPr>
                <w:noProof/>
                <w:webHidden/>
              </w:rPr>
              <w:fldChar w:fldCharType="end"/>
            </w:r>
          </w:hyperlink>
        </w:p>
        <w:p w14:paraId="5837E676" w14:textId="4FDFDC72" w:rsidR="001F6D0B" w:rsidRDefault="001F6D0B">
          <w:pPr>
            <w:pStyle w:val="TOC2"/>
            <w:tabs>
              <w:tab w:val="right" w:leader="dot" w:pos="9016"/>
            </w:tabs>
            <w:rPr>
              <w:noProof/>
              <w:kern w:val="2"/>
              <w:lang w:eastAsia="en-GB"/>
              <w14:ligatures w14:val="standardContextual"/>
            </w:rPr>
          </w:pPr>
          <w:hyperlink w:anchor="_Toc135144979" w:history="1">
            <w:r w:rsidRPr="00DF0AB9">
              <w:rPr>
                <w:rStyle w:val="Hyperlink"/>
                <w:noProof/>
              </w:rPr>
              <w:t>Mubareka 2008 – Settlement location and population density estimation</w:t>
            </w:r>
            <w:r>
              <w:rPr>
                <w:noProof/>
                <w:webHidden/>
              </w:rPr>
              <w:tab/>
            </w:r>
            <w:r>
              <w:rPr>
                <w:noProof/>
                <w:webHidden/>
              </w:rPr>
              <w:fldChar w:fldCharType="begin"/>
            </w:r>
            <w:r>
              <w:rPr>
                <w:noProof/>
                <w:webHidden/>
              </w:rPr>
              <w:instrText xml:space="preserve"> PAGEREF _Toc135144979 \h </w:instrText>
            </w:r>
            <w:r>
              <w:rPr>
                <w:noProof/>
                <w:webHidden/>
              </w:rPr>
            </w:r>
            <w:r>
              <w:rPr>
                <w:noProof/>
                <w:webHidden/>
              </w:rPr>
              <w:fldChar w:fldCharType="separate"/>
            </w:r>
            <w:r>
              <w:rPr>
                <w:noProof/>
                <w:webHidden/>
              </w:rPr>
              <w:t>5</w:t>
            </w:r>
            <w:r>
              <w:rPr>
                <w:noProof/>
                <w:webHidden/>
              </w:rPr>
              <w:fldChar w:fldCharType="end"/>
            </w:r>
          </w:hyperlink>
        </w:p>
        <w:p w14:paraId="73913127" w14:textId="6B48F93B" w:rsidR="001F6D0B" w:rsidRDefault="001F6D0B">
          <w:pPr>
            <w:pStyle w:val="TOC2"/>
            <w:tabs>
              <w:tab w:val="right" w:leader="dot" w:pos="9016"/>
            </w:tabs>
            <w:rPr>
              <w:noProof/>
              <w:kern w:val="2"/>
              <w:lang w:eastAsia="en-GB"/>
              <w14:ligatures w14:val="standardContextual"/>
            </w:rPr>
          </w:pPr>
          <w:hyperlink w:anchor="_Toc135144980" w:history="1">
            <w:r w:rsidRPr="00DF0AB9">
              <w:rPr>
                <w:rStyle w:val="Hyperlink"/>
                <w:noProof/>
              </w:rPr>
              <w:t>Thenkabail 2009 – Irrigated area maps of India using remote sensing</w:t>
            </w:r>
            <w:r>
              <w:rPr>
                <w:noProof/>
                <w:webHidden/>
              </w:rPr>
              <w:tab/>
            </w:r>
            <w:r>
              <w:rPr>
                <w:noProof/>
                <w:webHidden/>
              </w:rPr>
              <w:fldChar w:fldCharType="begin"/>
            </w:r>
            <w:r>
              <w:rPr>
                <w:noProof/>
                <w:webHidden/>
              </w:rPr>
              <w:instrText xml:space="preserve"> PAGEREF _Toc135144980 \h </w:instrText>
            </w:r>
            <w:r>
              <w:rPr>
                <w:noProof/>
                <w:webHidden/>
              </w:rPr>
            </w:r>
            <w:r>
              <w:rPr>
                <w:noProof/>
                <w:webHidden/>
              </w:rPr>
              <w:fldChar w:fldCharType="separate"/>
            </w:r>
            <w:r>
              <w:rPr>
                <w:noProof/>
                <w:webHidden/>
              </w:rPr>
              <w:t>6</w:t>
            </w:r>
            <w:r>
              <w:rPr>
                <w:noProof/>
                <w:webHidden/>
              </w:rPr>
              <w:fldChar w:fldCharType="end"/>
            </w:r>
          </w:hyperlink>
        </w:p>
        <w:p w14:paraId="68F881FD" w14:textId="2417A1C7"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5144976"/>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5212DA8A" w14:textId="1F5D1028" w:rsidR="00A67E7A" w:rsidRDefault="001842FD" w:rsidP="00A67E7A">
      <w:pPr>
        <w:pStyle w:val="Heading2"/>
      </w:pPr>
      <w:r>
        <w:br w:type="page"/>
      </w:r>
      <w:bookmarkStart w:id="1" w:name="_Toc135144977"/>
      <w:r w:rsidR="00A67E7A">
        <w:lastRenderedPageBreak/>
        <w:t>Balk 2019 – Population and Urban Classification Grids for India 2011</w:t>
      </w:r>
      <w:bookmarkEnd w:id="1"/>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8"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2E80A171" w14:textId="3F40EC3A" w:rsidR="00460581" w:rsidRDefault="00AB740E" w:rsidP="00460581">
      <w:pPr>
        <w:pStyle w:val="Heading2"/>
      </w:pPr>
      <w:bookmarkStart w:id="2" w:name="_Toc135144978"/>
      <w:r>
        <w:lastRenderedPageBreak/>
        <w:t>Richardson 2013 – Spatial turn in health research</w:t>
      </w:r>
      <w:bookmarkEnd w:id="2"/>
    </w:p>
    <w:tbl>
      <w:tblPr>
        <w:tblStyle w:val="TableGrid"/>
        <w:tblW w:w="0" w:type="auto"/>
        <w:tblLook w:val="04A0" w:firstRow="1" w:lastRow="0" w:firstColumn="1" w:lastColumn="0" w:noHBand="0" w:noVBand="1"/>
      </w:tblPr>
      <w:tblGrid>
        <w:gridCol w:w="3256"/>
        <w:gridCol w:w="5760"/>
      </w:tblGrid>
      <w:tr w:rsidR="00460581" w14:paraId="1544FFCA" w14:textId="77777777" w:rsidTr="00302685">
        <w:tc>
          <w:tcPr>
            <w:tcW w:w="3256" w:type="dxa"/>
          </w:tcPr>
          <w:p w14:paraId="17BE3376" w14:textId="77777777" w:rsidR="00460581" w:rsidRDefault="00460581" w:rsidP="00302685">
            <w:pPr>
              <w:jc w:val="left"/>
            </w:pPr>
            <w:r>
              <w:t>Full reference</w:t>
            </w:r>
          </w:p>
        </w:tc>
        <w:tc>
          <w:tcPr>
            <w:tcW w:w="5760" w:type="dxa"/>
          </w:tcPr>
          <w:p w14:paraId="76C8ED50" w14:textId="08CCE3C7" w:rsidR="00460581" w:rsidRDefault="00164328" w:rsidP="00164328">
            <w:pPr>
              <w:spacing w:after="160" w:line="252" w:lineRule="auto"/>
              <w:jc w:val="left"/>
            </w:pPr>
            <w:r>
              <w:t xml:space="preserve">Richardson, D.B. </w:t>
            </w:r>
            <w:r>
              <w:rPr>
                <w:i/>
                <w:iCs/>
              </w:rPr>
              <w:t>et al.</w:t>
            </w:r>
            <w:r>
              <w:t xml:space="preserve"> (2013) ‘Spatial Turn in Health Research’, </w:t>
            </w:r>
            <w:r>
              <w:rPr>
                <w:i/>
                <w:iCs/>
              </w:rPr>
              <w:t>Science</w:t>
            </w:r>
            <w:r>
              <w:t xml:space="preserve">, 339(6126), pp. 1390–1392. Available at: </w:t>
            </w:r>
            <w:hyperlink r:id="rId9" w:history="1">
              <w:r>
                <w:rPr>
                  <w:rStyle w:val="Hyperlink"/>
                </w:rPr>
                <w:t>https://doi.org/10.1126/science.1232257</w:t>
              </w:r>
            </w:hyperlink>
          </w:p>
        </w:tc>
      </w:tr>
      <w:tr w:rsidR="00460581" w14:paraId="5300C5B7" w14:textId="77777777" w:rsidTr="00302685">
        <w:tc>
          <w:tcPr>
            <w:tcW w:w="3256" w:type="dxa"/>
          </w:tcPr>
          <w:p w14:paraId="1315A740" w14:textId="77777777" w:rsidR="00460581" w:rsidRDefault="00460581" w:rsidP="00302685">
            <w:pPr>
              <w:jc w:val="left"/>
            </w:pPr>
            <w:r>
              <w:t>Article type</w:t>
            </w:r>
          </w:p>
          <w:p w14:paraId="40BE04F0" w14:textId="77777777" w:rsidR="00460581" w:rsidRPr="00D221A2" w:rsidRDefault="00460581" w:rsidP="00302685">
            <w:pPr>
              <w:jc w:val="left"/>
              <w:rPr>
                <w:i/>
                <w:iCs/>
              </w:rPr>
            </w:pPr>
            <w:r w:rsidRPr="00D221A2">
              <w:rPr>
                <w:i/>
                <w:iCs/>
                <w:sz w:val="18"/>
                <w:szCs w:val="18"/>
              </w:rPr>
              <w:t>(e.g., Empirical, Theoretical, Conceptual)</w:t>
            </w:r>
          </w:p>
        </w:tc>
        <w:tc>
          <w:tcPr>
            <w:tcW w:w="5760" w:type="dxa"/>
          </w:tcPr>
          <w:p w14:paraId="54D037FD" w14:textId="70CE1B86" w:rsidR="00460581" w:rsidRDefault="00813890" w:rsidP="00302685">
            <w:pPr>
              <w:jc w:val="left"/>
            </w:pPr>
            <w:r>
              <w:t>Conceptual</w:t>
            </w:r>
          </w:p>
        </w:tc>
      </w:tr>
      <w:tr w:rsidR="00460581" w14:paraId="75301834" w14:textId="77777777" w:rsidTr="00302685">
        <w:tc>
          <w:tcPr>
            <w:tcW w:w="3256" w:type="dxa"/>
          </w:tcPr>
          <w:p w14:paraId="5FADF165" w14:textId="77777777" w:rsidR="00460581" w:rsidRDefault="00460581" w:rsidP="00302685">
            <w:pPr>
              <w:jc w:val="left"/>
            </w:pPr>
            <w:r>
              <w:t>What is the article about?</w:t>
            </w:r>
          </w:p>
        </w:tc>
        <w:tc>
          <w:tcPr>
            <w:tcW w:w="5760" w:type="dxa"/>
          </w:tcPr>
          <w:p w14:paraId="2F128975" w14:textId="632A6F10" w:rsidR="00460581" w:rsidRDefault="00164328" w:rsidP="00302685">
            <w:pPr>
              <w:jc w:val="left"/>
            </w:pPr>
            <w:r>
              <w:t>Perspective piece on the evolution of spatial health research thanks to advances in spatially referenced data</w:t>
            </w:r>
          </w:p>
        </w:tc>
      </w:tr>
      <w:tr w:rsidR="00460581" w14:paraId="0C63946C" w14:textId="77777777" w:rsidTr="00302685">
        <w:tc>
          <w:tcPr>
            <w:tcW w:w="3256" w:type="dxa"/>
          </w:tcPr>
          <w:p w14:paraId="488EE527" w14:textId="77777777" w:rsidR="00460581" w:rsidRDefault="00460581" w:rsidP="00302685">
            <w:pPr>
              <w:jc w:val="left"/>
            </w:pPr>
            <w:r>
              <w:t>How are the aims explored/tested/presented?</w:t>
            </w:r>
          </w:p>
        </w:tc>
        <w:tc>
          <w:tcPr>
            <w:tcW w:w="5760" w:type="dxa"/>
          </w:tcPr>
          <w:p w14:paraId="2CF9F61D" w14:textId="749AB28E" w:rsidR="00460581" w:rsidRDefault="005A125C" w:rsidP="00302685">
            <w:pPr>
              <w:jc w:val="left"/>
            </w:pPr>
            <w:r>
              <w:t>Discussion of recen</w:t>
            </w:r>
            <w:r w:rsidR="001B5313">
              <w:t>t advances in the field; examples of studies utilising novel methodologies</w:t>
            </w:r>
          </w:p>
        </w:tc>
      </w:tr>
      <w:tr w:rsidR="00460581" w14:paraId="0E22F86E" w14:textId="77777777" w:rsidTr="00302685">
        <w:tc>
          <w:tcPr>
            <w:tcW w:w="3256" w:type="dxa"/>
          </w:tcPr>
          <w:p w14:paraId="6341BD90" w14:textId="77777777" w:rsidR="00460581" w:rsidRDefault="00460581" w:rsidP="00302685">
            <w:pPr>
              <w:jc w:val="left"/>
            </w:pPr>
            <w:r>
              <w:t>What are the main findings?</w:t>
            </w:r>
          </w:p>
        </w:tc>
        <w:tc>
          <w:tcPr>
            <w:tcW w:w="5760" w:type="dxa"/>
          </w:tcPr>
          <w:p w14:paraId="69ACCABD" w14:textId="77777777" w:rsidR="00460581" w:rsidRDefault="00DE47C7" w:rsidP="00DE47C7">
            <w:pPr>
              <w:pStyle w:val="ListParagraph"/>
              <w:numPr>
                <w:ilvl w:val="0"/>
                <w:numId w:val="4"/>
              </w:numPr>
              <w:jc w:val="left"/>
            </w:pPr>
            <w:r>
              <w:t xml:space="preserve">Density, size and availability of geospatial data has </w:t>
            </w:r>
            <w:r w:rsidR="00752BA1">
              <w:t xml:space="preserve">facilitated new research in spatial and temporal </w:t>
            </w:r>
            <w:proofErr w:type="gramStart"/>
            <w:r w:rsidR="00752BA1">
              <w:t>analysis</w:t>
            </w:r>
            <w:proofErr w:type="gramEnd"/>
          </w:p>
          <w:p w14:paraId="1C90C7EF" w14:textId="77777777" w:rsidR="00752BA1" w:rsidRDefault="00752BA1" w:rsidP="00DE47C7">
            <w:pPr>
              <w:pStyle w:val="ListParagraph"/>
              <w:numPr>
                <w:ilvl w:val="0"/>
                <w:numId w:val="4"/>
              </w:numPr>
              <w:jc w:val="left"/>
            </w:pPr>
            <w:r>
              <w:t>Examples include:</w:t>
            </w:r>
          </w:p>
          <w:p w14:paraId="7A023F5F" w14:textId="63335513" w:rsidR="00752BA1" w:rsidRDefault="00DA7C9A" w:rsidP="00752BA1">
            <w:pPr>
              <w:pStyle w:val="ListParagraph"/>
              <w:numPr>
                <w:ilvl w:val="1"/>
                <w:numId w:val="4"/>
              </w:numPr>
              <w:jc w:val="left"/>
            </w:pPr>
            <w:r>
              <w:t xml:space="preserve">Wearable environmental/biometric monitors that capture geospatial information, for fine-scale exposure </w:t>
            </w:r>
            <w:r w:rsidR="004F2C0A">
              <w:t>assessment.</w:t>
            </w:r>
          </w:p>
          <w:p w14:paraId="3BC7B296" w14:textId="77777777" w:rsidR="00890013" w:rsidRDefault="0068473D" w:rsidP="00752BA1">
            <w:pPr>
              <w:pStyle w:val="ListParagraph"/>
              <w:numPr>
                <w:ilvl w:val="1"/>
                <w:numId w:val="4"/>
              </w:numPr>
              <w:jc w:val="left"/>
            </w:pPr>
            <w:r>
              <w:t>Spatial modelling of HIV transmission, that takes into accounts patient demographics, daily activit</w:t>
            </w:r>
            <w:r w:rsidR="00CC38F6">
              <w:t>ies and local prevalence</w:t>
            </w:r>
          </w:p>
          <w:p w14:paraId="049A2C5F" w14:textId="77777777" w:rsidR="00CC38F6" w:rsidRDefault="00CC38F6" w:rsidP="00752BA1">
            <w:pPr>
              <w:pStyle w:val="ListParagraph"/>
              <w:numPr>
                <w:ilvl w:val="1"/>
                <w:numId w:val="4"/>
              </w:numPr>
              <w:jc w:val="left"/>
            </w:pPr>
            <w:r>
              <w:t>Mobile cell phone data providing spatiotemporal movement data</w:t>
            </w:r>
            <w:r w:rsidR="004F2C0A">
              <w:t>; examples include researching interactions between human and animal movements in Kenya to track the spread of malaria</w:t>
            </w:r>
          </w:p>
          <w:p w14:paraId="6C121E58" w14:textId="5CF4C777" w:rsidR="004F2C0A" w:rsidRDefault="007F4317" w:rsidP="00752BA1">
            <w:pPr>
              <w:pStyle w:val="ListParagraph"/>
              <w:numPr>
                <w:ilvl w:val="1"/>
                <w:numId w:val="4"/>
              </w:numPr>
              <w:jc w:val="left"/>
            </w:pPr>
            <w:r>
              <w:t>GPS-enabled real-time air quality and radiation monitoring at fine spatial resolutions</w:t>
            </w:r>
          </w:p>
        </w:tc>
      </w:tr>
      <w:tr w:rsidR="00460581" w14:paraId="1BA77DE5" w14:textId="77777777" w:rsidTr="00302685">
        <w:tc>
          <w:tcPr>
            <w:tcW w:w="3256" w:type="dxa"/>
          </w:tcPr>
          <w:p w14:paraId="6EA13B25" w14:textId="77777777" w:rsidR="00460581" w:rsidRDefault="00460581" w:rsidP="00302685">
            <w:pPr>
              <w:jc w:val="left"/>
            </w:pPr>
            <w:r>
              <w:t>What gaps does it identify?</w:t>
            </w:r>
          </w:p>
        </w:tc>
        <w:tc>
          <w:tcPr>
            <w:tcW w:w="5760" w:type="dxa"/>
          </w:tcPr>
          <w:p w14:paraId="3A66FA92" w14:textId="2A199C9B" w:rsidR="00460581" w:rsidRDefault="007F4317" w:rsidP="00302685">
            <w:pPr>
              <w:jc w:val="left"/>
            </w:pPr>
            <w:r>
              <w:t xml:space="preserve">The need </w:t>
            </w:r>
            <w:r w:rsidR="00747C9C">
              <w:t>for institutional standards and models for this new field, plus availability of distributed</w:t>
            </w:r>
            <w:r w:rsidR="003324E7">
              <w:t xml:space="preserve"> spatial data infrastructures (note this paper from 2013; how does the current data environment compare?)</w:t>
            </w:r>
          </w:p>
        </w:tc>
      </w:tr>
      <w:tr w:rsidR="00460581" w14:paraId="5C571B71" w14:textId="77777777" w:rsidTr="00302685">
        <w:tc>
          <w:tcPr>
            <w:tcW w:w="3256" w:type="dxa"/>
          </w:tcPr>
          <w:p w14:paraId="03957F48" w14:textId="77777777" w:rsidR="00460581" w:rsidRDefault="00460581" w:rsidP="00302685">
            <w:pPr>
              <w:jc w:val="left"/>
            </w:pPr>
            <w:r>
              <w:t>Limitations/critiques</w:t>
            </w:r>
          </w:p>
        </w:tc>
        <w:tc>
          <w:tcPr>
            <w:tcW w:w="5760" w:type="dxa"/>
          </w:tcPr>
          <w:p w14:paraId="19408C67" w14:textId="0E48CD1A" w:rsidR="00460581" w:rsidRDefault="000D60E5" w:rsidP="00302685">
            <w:pPr>
              <w:jc w:val="left"/>
            </w:pPr>
            <w:r>
              <w:t>-</w:t>
            </w:r>
          </w:p>
        </w:tc>
      </w:tr>
      <w:tr w:rsidR="00460581" w14:paraId="56557B53" w14:textId="77777777" w:rsidTr="00302685">
        <w:tc>
          <w:tcPr>
            <w:tcW w:w="3256" w:type="dxa"/>
          </w:tcPr>
          <w:p w14:paraId="14C49798" w14:textId="77777777" w:rsidR="00460581" w:rsidRDefault="00460581" w:rsidP="00302685">
            <w:pPr>
              <w:jc w:val="left"/>
            </w:pPr>
            <w:r>
              <w:t>How does it link to wider learning?</w:t>
            </w:r>
          </w:p>
        </w:tc>
        <w:tc>
          <w:tcPr>
            <w:tcW w:w="5760" w:type="dxa"/>
          </w:tcPr>
          <w:p w14:paraId="54F85804" w14:textId="075C178D" w:rsidR="00460581" w:rsidRDefault="000D60E5" w:rsidP="00302685">
            <w:pPr>
              <w:jc w:val="left"/>
            </w:pPr>
            <w:r>
              <w:t xml:space="preserve">Provides high level overview of the direction of research in this area as of 2013; provides a basis for </w:t>
            </w:r>
            <w:r w:rsidR="000849DC">
              <w:t xml:space="preserve">further research to track the path of air pollution exposure </w:t>
            </w:r>
          </w:p>
        </w:tc>
      </w:tr>
      <w:tr w:rsidR="00460581" w14:paraId="1B901CE5" w14:textId="77777777" w:rsidTr="00302685">
        <w:tc>
          <w:tcPr>
            <w:tcW w:w="3256" w:type="dxa"/>
          </w:tcPr>
          <w:p w14:paraId="2869123E" w14:textId="77777777" w:rsidR="00460581" w:rsidRDefault="00460581" w:rsidP="00302685">
            <w:pPr>
              <w:jc w:val="left"/>
            </w:pPr>
            <w:r>
              <w:t xml:space="preserve">Additional notes </w:t>
            </w:r>
          </w:p>
          <w:p w14:paraId="61EDAE5C" w14:textId="77777777" w:rsidR="00460581" w:rsidRPr="00D221A2" w:rsidRDefault="00460581" w:rsidP="00302685">
            <w:pPr>
              <w:jc w:val="left"/>
              <w:rPr>
                <w:i/>
                <w:iCs/>
              </w:rPr>
            </w:pPr>
            <w:r w:rsidRPr="00D221A2">
              <w:rPr>
                <w:i/>
                <w:iCs/>
                <w:sz w:val="18"/>
                <w:szCs w:val="18"/>
              </w:rPr>
              <w:t>(incl. useful quotes)</w:t>
            </w:r>
          </w:p>
        </w:tc>
        <w:tc>
          <w:tcPr>
            <w:tcW w:w="5760" w:type="dxa"/>
          </w:tcPr>
          <w:p w14:paraId="7646F774" w14:textId="23D713D3" w:rsidR="00460581" w:rsidRDefault="00F2675A" w:rsidP="00302685">
            <w:pPr>
              <w:jc w:val="left"/>
            </w:pPr>
            <w:r>
              <w:t>-</w:t>
            </w:r>
          </w:p>
        </w:tc>
      </w:tr>
    </w:tbl>
    <w:p w14:paraId="171F24E2" w14:textId="623AAADF" w:rsidR="00F74987" w:rsidRDefault="00F74987">
      <w:pPr>
        <w:rPr>
          <w:rFonts w:asciiTheme="majorHAnsi" w:eastAsiaTheme="majorEastAsia" w:hAnsiTheme="majorHAnsi" w:cstheme="majorBidi"/>
          <w:b/>
          <w:bCs/>
          <w:sz w:val="28"/>
          <w:szCs w:val="28"/>
        </w:rPr>
      </w:pPr>
    </w:p>
    <w:p w14:paraId="7FBA1336" w14:textId="77777777" w:rsidR="00F74987" w:rsidRDefault="00F74987">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39B11564" w14:textId="75D1B0A2" w:rsidR="00A52D23" w:rsidRPr="00802391" w:rsidRDefault="00A52D23" w:rsidP="00A52D23">
      <w:pPr>
        <w:pStyle w:val="Heading2"/>
      </w:pPr>
      <w:bookmarkStart w:id="3" w:name="_Toc135144979"/>
      <w:proofErr w:type="spellStart"/>
      <w:r>
        <w:lastRenderedPageBreak/>
        <w:t>Mubareka</w:t>
      </w:r>
      <w:proofErr w:type="spellEnd"/>
      <w:r>
        <w:t xml:space="preserve"> 2008 – Settlement location and population density estimation</w:t>
      </w:r>
      <w:bookmarkEnd w:id="3"/>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proofErr w:type="spellStart"/>
            <w:r>
              <w:t>Deichmann</w:t>
            </w:r>
            <w:proofErr w:type="spellEnd"/>
            <w:r>
              <w:t xml:space="preserve">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5C72764A" w14:textId="0D4B887B" w:rsidR="00935E51" w:rsidRDefault="00935E51" w:rsidP="00935E51">
      <w:pPr>
        <w:pStyle w:val="Heading2"/>
      </w:pPr>
      <w:bookmarkStart w:id="4" w:name="_Toc135144980"/>
      <w:proofErr w:type="spellStart"/>
      <w:r>
        <w:lastRenderedPageBreak/>
        <w:t>Thenkabail</w:t>
      </w:r>
      <w:proofErr w:type="spellEnd"/>
      <w:r>
        <w:t xml:space="preserve"> 2009 – Irrigated area maps of India using remote </w:t>
      </w:r>
      <w:proofErr w:type="gramStart"/>
      <w:r>
        <w:t>sensing</w:t>
      </w:r>
      <w:bookmarkEnd w:id="4"/>
      <w:proofErr w:type="gramEnd"/>
    </w:p>
    <w:tbl>
      <w:tblPr>
        <w:tblStyle w:val="TableGrid"/>
        <w:tblW w:w="0" w:type="auto"/>
        <w:tblLook w:val="04A0" w:firstRow="1" w:lastRow="0" w:firstColumn="1" w:lastColumn="0" w:noHBand="0" w:noVBand="1"/>
      </w:tblPr>
      <w:tblGrid>
        <w:gridCol w:w="3256"/>
        <w:gridCol w:w="5760"/>
      </w:tblGrid>
      <w:tr w:rsidR="00935E51" w14:paraId="133AB36F" w14:textId="77777777" w:rsidTr="00DB0108">
        <w:tc>
          <w:tcPr>
            <w:tcW w:w="3256" w:type="dxa"/>
          </w:tcPr>
          <w:p w14:paraId="2E30D6BE" w14:textId="77777777" w:rsidR="00935E51" w:rsidRDefault="00935E51" w:rsidP="00DB0108">
            <w:pPr>
              <w:jc w:val="left"/>
            </w:pPr>
            <w:r>
              <w:t>Full reference</w:t>
            </w:r>
          </w:p>
        </w:tc>
        <w:tc>
          <w:tcPr>
            <w:tcW w:w="5760" w:type="dxa"/>
          </w:tcPr>
          <w:p w14:paraId="22AAF30B" w14:textId="1AA2AEB4" w:rsidR="00935E51" w:rsidRDefault="00935E51" w:rsidP="00935E51">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10" w:history="1">
              <w:r>
                <w:rPr>
                  <w:rStyle w:val="Hyperlink"/>
                </w:rPr>
                <w:t>https://doi.org/10.3390/rs1020050</w:t>
              </w:r>
            </w:hyperlink>
            <w:r>
              <w:t>.</w:t>
            </w:r>
          </w:p>
        </w:tc>
      </w:tr>
      <w:tr w:rsidR="00935E51" w14:paraId="1A56D8D7" w14:textId="77777777" w:rsidTr="00DB0108">
        <w:tc>
          <w:tcPr>
            <w:tcW w:w="3256" w:type="dxa"/>
          </w:tcPr>
          <w:p w14:paraId="4E0252E9" w14:textId="77777777" w:rsidR="00935E51" w:rsidRDefault="00935E51" w:rsidP="00DB0108">
            <w:pPr>
              <w:jc w:val="left"/>
            </w:pPr>
            <w:r>
              <w:t>Article type</w:t>
            </w:r>
          </w:p>
          <w:p w14:paraId="4A338737" w14:textId="77777777" w:rsidR="00935E51" w:rsidRPr="00D221A2" w:rsidRDefault="00935E51" w:rsidP="00DB0108">
            <w:pPr>
              <w:jc w:val="left"/>
              <w:rPr>
                <w:i/>
                <w:iCs/>
              </w:rPr>
            </w:pPr>
            <w:r w:rsidRPr="00D221A2">
              <w:rPr>
                <w:i/>
                <w:iCs/>
                <w:sz w:val="18"/>
                <w:szCs w:val="18"/>
              </w:rPr>
              <w:t>(e.g., Empirical, Theoretical, Conceptual)</w:t>
            </w:r>
          </w:p>
        </w:tc>
        <w:tc>
          <w:tcPr>
            <w:tcW w:w="5760" w:type="dxa"/>
          </w:tcPr>
          <w:p w14:paraId="35D72944" w14:textId="1DF04A3C" w:rsidR="00935E51" w:rsidRDefault="00935E51" w:rsidP="00DB0108">
            <w:pPr>
              <w:jc w:val="left"/>
            </w:pPr>
            <w:r>
              <w:t>Empirical</w:t>
            </w:r>
          </w:p>
        </w:tc>
      </w:tr>
      <w:tr w:rsidR="00935E51" w14:paraId="514293E0" w14:textId="77777777" w:rsidTr="00DB0108">
        <w:tc>
          <w:tcPr>
            <w:tcW w:w="3256" w:type="dxa"/>
          </w:tcPr>
          <w:p w14:paraId="10C9805B" w14:textId="77777777" w:rsidR="00935E51" w:rsidRDefault="00935E51" w:rsidP="00DB0108">
            <w:pPr>
              <w:jc w:val="left"/>
            </w:pPr>
            <w:r>
              <w:t>What is the article about?</w:t>
            </w:r>
          </w:p>
        </w:tc>
        <w:tc>
          <w:tcPr>
            <w:tcW w:w="5760" w:type="dxa"/>
          </w:tcPr>
          <w:p w14:paraId="1D4DEB24" w14:textId="369F7A70" w:rsidR="00935E51" w:rsidRDefault="00935E51" w:rsidP="00DB0108">
            <w:pPr>
              <w:jc w:val="left"/>
            </w:pPr>
            <w:r>
              <w:t xml:space="preserve">Comparison of remote-sensing derived maps of irrigated land with census-derived statistics of irrigated land. </w:t>
            </w:r>
          </w:p>
        </w:tc>
      </w:tr>
      <w:tr w:rsidR="00935E51" w14:paraId="5569DB56" w14:textId="77777777" w:rsidTr="00DB0108">
        <w:tc>
          <w:tcPr>
            <w:tcW w:w="3256" w:type="dxa"/>
          </w:tcPr>
          <w:p w14:paraId="07F0241C" w14:textId="77777777" w:rsidR="00935E51" w:rsidRDefault="00935E51" w:rsidP="00DB0108">
            <w:pPr>
              <w:jc w:val="left"/>
            </w:pPr>
            <w:r>
              <w:t>How are the aims explored/tested/presented?</w:t>
            </w:r>
          </w:p>
        </w:tc>
        <w:tc>
          <w:tcPr>
            <w:tcW w:w="5760" w:type="dxa"/>
          </w:tcPr>
          <w:p w14:paraId="22A60065" w14:textId="77777777" w:rsidR="00935E51" w:rsidRDefault="00935E51" w:rsidP="00DB0108">
            <w:pPr>
              <w:jc w:val="left"/>
            </w:pPr>
          </w:p>
        </w:tc>
      </w:tr>
      <w:tr w:rsidR="00935E51" w14:paraId="1D92A06F" w14:textId="77777777" w:rsidTr="00DB0108">
        <w:tc>
          <w:tcPr>
            <w:tcW w:w="3256" w:type="dxa"/>
          </w:tcPr>
          <w:p w14:paraId="5910585E" w14:textId="77777777" w:rsidR="00935E51" w:rsidRDefault="00935E51" w:rsidP="00DB0108">
            <w:pPr>
              <w:jc w:val="left"/>
            </w:pPr>
            <w:r>
              <w:t>What are the main findings?</w:t>
            </w:r>
          </w:p>
        </w:tc>
        <w:tc>
          <w:tcPr>
            <w:tcW w:w="5760" w:type="dxa"/>
          </w:tcPr>
          <w:p w14:paraId="21434C09" w14:textId="77777777" w:rsidR="00935E51" w:rsidRDefault="00935E51" w:rsidP="00935E51">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0C55D6C8" w14:textId="77777777" w:rsidR="00935E51" w:rsidRDefault="00935E51" w:rsidP="00935E51">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29706FAE" w14:textId="77777777" w:rsidR="00935E51" w:rsidRDefault="00935E51" w:rsidP="00935E51">
            <w:pPr>
              <w:pStyle w:val="ListParagraph"/>
              <w:numPr>
                <w:ilvl w:val="0"/>
                <w:numId w:val="1"/>
              </w:numPr>
              <w:jc w:val="left"/>
            </w:pPr>
            <w:r>
              <w:t xml:space="preserve">In India, traditionally local revenue department officials report irrigation statistics that are in turn compiled at different levels. </w:t>
            </w:r>
          </w:p>
          <w:p w14:paraId="631AFE17" w14:textId="38525693" w:rsidR="00935E51" w:rsidRDefault="00935E51" w:rsidP="00935E51">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935E51" w14:paraId="361AAD1A" w14:textId="77777777" w:rsidTr="00DB0108">
        <w:tc>
          <w:tcPr>
            <w:tcW w:w="3256" w:type="dxa"/>
          </w:tcPr>
          <w:p w14:paraId="1D218144" w14:textId="77777777" w:rsidR="00935E51" w:rsidRDefault="00935E51" w:rsidP="00DB0108">
            <w:pPr>
              <w:jc w:val="left"/>
            </w:pPr>
            <w:r>
              <w:t>What gaps does it identify?</w:t>
            </w:r>
          </w:p>
        </w:tc>
        <w:tc>
          <w:tcPr>
            <w:tcW w:w="5760" w:type="dxa"/>
          </w:tcPr>
          <w:p w14:paraId="2968D75C" w14:textId="36B94B63" w:rsidR="00935E51" w:rsidRDefault="00935E51" w:rsidP="00DB0108">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935E51" w14:paraId="4B4C8C7A" w14:textId="77777777" w:rsidTr="00DB0108">
        <w:tc>
          <w:tcPr>
            <w:tcW w:w="3256" w:type="dxa"/>
          </w:tcPr>
          <w:p w14:paraId="386F9FA1" w14:textId="77777777" w:rsidR="00935E51" w:rsidRDefault="00935E51" w:rsidP="00DB0108">
            <w:pPr>
              <w:jc w:val="left"/>
            </w:pPr>
            <w:r>
              <w:t>Limitations/critiques</w:t>
            </w:r>
          </w:p>
        </w:tc>
        <w:tc>
          <w:tcPr>
            <w:tcW w:w="5760" w:type="dxa"/>
          </w:tcPr>
          <w:p w14:paraId="2D4BAD85" w14:textId="2C458793" w:rsidR="00935E51" w:rsidRDefault="00935E51" w:rsidP="00DB0108">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935E51" w14:paraId="5245296B" w14:textId="77777777" w:rsidTr="00DB0108">
        <w:tc>
          <w:tcPr>
            <w:tcW w:w="3256" w:type="dxa"/>
          </w:tcPr>
          <w:p w14:paraId="52B5F0E5" w14:textId="77777777" w:rsidR="00935E51" w:rsidRDefault="00935E51" w:rsidP="00DB0108">
            <w:pPr>
              <w:jc w:val="left"/>
            </w:pPr>
            <w:r>
              <w:t>How does it link to wider learning?</w:t>
            </w:r>
          </w:p>
        </w:tc>
        <w:tc>
          <w:tcPr>
            <w:tcW w:w="5760" w:type="dxa"/>
          </w:tcPr>
          <w:p w14:paraId="28E77375" w14:textId="77777777" w:rsidR="00935E51" w:rsidRDefault="00935E51" w:rsidP="00DB0108">
            <w:pPr>
              <w:jc w:val="left"/>
            </w:pPr>
          </w:p>
        </w:tc>
      </w:tr>
      <w:tr w:rsidR="00935E51" w14:paraId="3C0E4EFC" w14:textId="77777777" w:rsidTr="00DB0108">
        <w:tc>
          <w:tcPr>
            <w:tcW w:w="3256" w:type="dxa"/>
          </w:tcPr>
          <w:p w14:paraId="4252C683" w14:textId="77777777" w:rsidR="00935E51" w:rsidRDefault="00935E51" w:rsidP="00DB0108">
            <w:pPr>
              <w:jc w:val="left"/>
            </w:pPr>
            <w:r>
              <w:t xml:space="preserve">Additional notes </w:t>
            </w:r>
          </w:p>
          <w:p w14:paraId="7C9664DB" w14:textId="77777777" w:rsidR="00935E51" w:rsidRPr="00D221A2" w:rsidRDefault="00935E51" w:rsidP="00DB0108">
            <w:pPr>
              <w:jc w:val="left"/>
              <w:rPr>
                <w:i/>
                <w:iCs/>
              </w:rPr>
            </w:pPr>
            <w:r w:rsidRPr="00D221A2">
              <w:rPr>
                <w:i/>
                <w:iCs/>
                <w:sz w:val="18"/>
                <w:szCs w:val="18"/>
              </w:rPr>
              <w:t>(incl. useful quotes)</w:t>
            </w:r>
          </w:p>
        </w:tc>
        <w:tc>
          <w:tcPr>
            <w:tcW w:w="5760" w:type="dxa"/>
          </w:tcPr>
          <w:p w14:paraId="30A81A86" w14:textId="77777777" w:rsidR="00935E51" w:rsidRDefault="00935E51" w:rsidP="00DB0108">
            <w:pPr>
              <w:jc w:val="left"/>
            </w:pPr>
          </w:p>
        </w:tc>
      </w:tr>
    </w:tbl>
    <w:p w14:paraId="3661CB82" w14:textId="77777777"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954C" w14:textId="77777777" w:rsidR="0010193A" w:rsidRDefault="0010193A" w:rsidP="00A26F16">
      <w:pPr>
        <w:spacing w:after="0" w:line="240" w:lineRule="auto"/>
      </w:pPr>
      <w:r>
        <w:separator/>
      </w:r>
    </w:p>
  </w:endnote>
  <w:endnote w:type="continuationSeparator" w:id="0">
    <w:p w14:paraId="0EA1C9B2" w14:textId="77777777" w:rsidR="0010193A" w:rsidRDefault="0010193A"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181D8" w14:textId="77777777" w:rsidR="0010193A" w:rsidRDefault="0010193A" w:rsidP="00A26F16">
      <w:pPr>
        <w:spacing w:after="0" w:line="240" w:lineRule="auto"/>
      </w:pPr>
      <w:r>
        <w:separator/>
      </w:r>
    </w:p>
  </w:footnote>
  <w:footnote w:type="continuationSeparator" w:id="0">
    <w:p w14:paraId="580F2631" w14:textId="77777777" w:rsidR="0010193A" w:rsidRDefault="0010193A"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AC71E5"/>
    <w:multiLevelType w:val="hybridMultilevel"/>
    <w:tmpl w:val="F38A87EA"/>
    <w:lvl w:ilvl="0" w:tplc="A0AED2A8">
      <w:start w:val="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5"/>
  </w:num>
  <w:num w:numId="5" w16cid:durableId="1285575517">
    <w:abstractNumId w:val="4"/>
  </w:num>
  <w:num w:numId="6" w16cid:durableId="154259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577B9"/>
    <w:rsid w:val="000719E9"/>
    <w:rsid w:val="000849DC"/>
    <w:rsid w:val="00087AFC"/>
    <w:rsid w:val="00095E52"/>
    <w:rsid w:val="00095F04"/>
    <w:rsid w:val="000B166E"/>
    <w:rsid w:val="000B3EEA"/>
    <w:rsid w:val="000C1B62"/>
    <w:rsid w:val="000C2487"/>
    <w:rsid w:val="000D60E5"/>
    <w:rsid w:val="000E2DF3"/>
    <w:rsid w:val="000E5716"/>
    <w:rsid w:val="000F0920"/>
    <w:rsid w:val="000F28CC"/>
    <w:rsid w:val="000F6066"/>
    <w:rsid w:val="00100907"/>
    <w:rsid w:val="0010193A"/>
    <w:rsid w:val="001047A0"/>
    <w:rsid w:val="00115B91"/>
    <w:rsid w:val="001201C2"/>
    <w:rsid w:val="00120377"/>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42FD"/>
    <w:rsid w:val="001864FC"/>
    <w:rsid w:val="001916B5"/>
    <w:rsid w:val="00192B6A"/>
    <w:rsid w:val="001A207A"/>
    <w:rsid w:val="001A6244"/>
    <w:rsid w:val="001B5313"/>
    <w:rsid w:val="001B7EF5"/>
    <w:rsid w:val="001C2AC2"/>
    <w:rsid w:val="001C5CCD"/>
    <w:rsid w:val="001C7FA6"/>
    <w:rsid w:val="001D0D25"/>
    <w:rsid w:val="001D18B5"/>
    <w:rsid w:val="001D3D5A"/>
    <w:rsid w:val="001D4C9D"/>
    <w:rsid w:val="001F6D0B"/>
    <w:rsid w:val="00211389"/>
    <w:rsid w:val="00213ED2"/>
    <w:rsid w:val="00214389"/>
    <w:rsid w:val="00217407"/>
    <w:rsid w:val="00234AB6"/>
    <w:rsid w:val="00240586"/>
    <w:rsid w:val="0024211F"/>
    <w:rsid w:val="00243786"/>
    <w:rsid w:val="00251D86"/>
    <w:rsid w:val="00252479"/>
    <w:rsid w:val="00253FF0"/>
    <w:rsid w:val="00256B82"/>
    <w:rsid w:val="002644E5"/>
    <w:rsid w:val="0026566C"/>
    <w:rsid w:val="00265FC3"/>
    <w:rsid w:val="00280316"/>
    <w:rsid w:val="00285F6B"/>
    <w:rsid w:val="00293E60"/>
    <w:rsid w:val="002A230A"/>
    <w:rsid w:val="002A5C61"/>
    <w:rsid w:val="002A7799"/>
    <w:rsid w:val="002B0424"/>
    <w:rsid w:val="002B6FE8"/>
    <w:rsid w:val="002C1175"/>
    <w:rsid w:val="002C7853"/>
    <w:rsid w:val="002D3BF4"/>
    <w:rsid w:val="002E0E95"/>
    <w:rsid w:val="002E2A5C"/>
    <w:rsid w:val="002E6613"/>
    <w:rsid w:val="00305E65"/>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A1173"/>
    <w:rsid w:val="003A15BB"/>
    <w:rsid w:val="003A2A85"/>
    <w:rsid w:val="003A426C"/>
    <w:rsid w:val="003A6BFB"/>
    <w:rsid w:val="003B7368"/>
    <w:rsid w:val="003B77D0"/>
    <w:rsid w:val="003C005D"/>
    <w:rsid w:val="003C06B4"/>
    <w:rsid w:val="003C4471"/>
    <w:rsid w:val="003D45D5"/>
    <w:rsid w:val="003E00FC"/>
    <w:rsid w:val="003E0434"/>
    <w:rsid w:val="003E0C6F"/>
    <w:rsid w:val="003E1C3B"/>
    <w:rsid w:val="003E5251"/>
    <w:rsid w:val="003F0E14"/>
    <w:rsid w:val="003F4A9A"/>
    <w:rsid w:val="00400C89"/>
    <w:rsid w:val="00405031"/>
    <w:rsid w:val="004053FE"/>
    <w:rsid w:val="00414A0C"/>
    <w:rsid w:val="00420253"/>
    <w:rsid w:val="00425E0D"/>
    <w:rsid w:val="0042754D"/>
    <w:rsid w:val="004338ED"/>
    <w:rsid w:val="00442973"/>
    <w:rsid w:val="0045090C"/>
    <w:rsid w:val="00452448"/>
    <w:rsid w:val="00454AEA"/>
    <w:rsid w:val="004576F9"/>
    <w:rsid w:val="00460581"/>
    <w:rsid w:val="00461D2B"/>
    <w:rsid w:val="004651B5"/>
    <w:rsid w:val="00482876"/>
    <w:rsid w:val="00482AF9"/>
    <w:rsid w:val="00482EBA"/>
    <w:rsid w:val="00490EB6"/>
    <w:rsid w:val="00494ED9"/>
    <w:rsid w:val="004A0FA8"/>
    <w:rsid w:val="004A1BC4"/>
    <w:rsid w:val="004A2657"/>
    <w:rsid w:val="004B1825"/>
    <w:rsid w:val="004B18E0"/>
    <w:rsid w:val="004B1A9D"/>
    <w:rsid w:val="004B3CAD"/>
    <w:rsid w:val="004C0ED9"/>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BD6"/>
    <w:rsid w:val="00531605"/>
    <w:rsid w:val="00534905"/>
    <w:rsid w:val="00535FA4"/>
    <w:rsid w:val="0053662A"/>
    <w:rsid w:val="00542347"/>
    <w:rsid w:val="00543034"/>
    <w:rsid w:val="00547B52"/>
    <w:rsid w:val="00553136"/>
    <w:rsid w:val="0055551A"/>
    <w:rsid w:val="005555B6"/>
    <w:rsid w:val="00565A3F"/>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E0C92"/>
    <w:rsid w:val="005E701F"/>
    <w:rsid w:val="005F14E2"/>
    <w:rsid w:val="005F40CA"/>
    <w:rsid w:val="005F63BA"/>
    <w:rsid w:val="005F74E6"/>
    <w:rsid w:val="00604AEF"/>
    <w:rsid w:val="00606B19"/>
    <w:rsid w:val="00606D93"/>
    <w:rsid w:val="00607BB1"/>
    <w:rsid w:val="00617C06"/>
    <w:rsid w:val="00621E7C"/>
    <w:rsid w:val="006245DC"/>
    <w:rsid w:val="00632B67"/>
    <w:rsid w:val="00632EC2"/>
    <w:rsid w:val="00635C43"/>
    <w:rsid w:val="00642C8D"/>
    <w:rsid w:val="00643373"/>
    <w:rsid w:val="00644574"/>
    <w:rsid w:val="00652D44"/>
    <w:rsid w:val="00652EB1"/>
    <w:rsid w:val="00656152"/>
    <w:rsid w:val="00656B1B"/>
    <w:rsid w:val="006650EC"/>
    <w:rsid w:val="006672FE"/>
    <w:rsid w:val="00667731"/>
    <w:rsid w:val="00683801"/>
    <w:rsid w:val="0068473D"/>
    <w:rsid w:val="0068559B"/>
    <w:rsid w:val="00692103"/>
    <w:rsid w:val="00695974"/>
    <w:rsid w:val="006A0E79"/>
    <w:rsid w:val="006A3613"/>
    <w:rsid w:val="006A53DD"/>
    <w:rsid w:val="006B11B9"/>
    <w:rsid w:val="006B15AC"/>
    <w:rsid w:val="006B29BE"/>
    <w:rsid w:val="006C319B"/>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219A"/>
    <w:rsid w:val="008024B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25F1"/>
    <w:rsid w:val="0089271E"/>
    <w:rsid w:val="00893DED"/>
    <w:rsid w:val="00894704"/>
    <w:rsid w:val="0089482E"/>
    <w:rsid w:val="00894CF8"/>
    <w:rsid w:val="0089592D"/>
    <w:rsid w:val="008964D5"/>
    <w:rsid w:val="00896CAA"/>
    <w:rsid w:val="008A5781"/>
    <w:rsid w:val="008B42EA"/>
    <w:rsid w:val="008B460A"/>
    <w:rsid w:val="008B6BA0"/>
    <w:rsid w:val="008C1C8F"/>
    <w:rsid w:val="008D5187"/>
    <w:rsid w:val="008D5687"/>
    <w:rsid w:val="008E08CC"/>
    <w:rsid w:val="008F3C05"/>
    <w:rsid w:val="008F4476"/>
    <w:rsid w:val="008F569E"/>
    <w:rsid w:val="00900092"/>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1B3B"/>
    <w:rsid w:val="00982A5F"/>
    <w:rsid w:val="009910F5"/>
    <w:rsid w:val="00995398"/>
    <w:rsid w:val="00995E7A"/>
    <w:rsid w:val="00996BCB"/>
    <w:rsid w:val="009A130E"/>
    <w:rsid w:val="009A2E1A"/>
    <w:rsid w:val="009A4EB2"/>
    <w:rsid w:val="009A635B"/>
    <w:rsid w:val="009B1004"/>
    <w:rsid w:val="009B1B96"/>
    <w:rsid w:val="009B3CA0"/>
    <w:rsid w:val="009B3DDB"/>
    <w:rsid w:val="009C1445"/>
    <w:rsid w:val="009C70AF"/>
    <w:rsid w:val="009E4EF2"/>
    <w:rsid w:val="009E5EFA"/>
    <w:rsid w:val="009F0B9C"/>
    <w:rsid w:val="009F146D"/>
    <w:rsid w:val="009F253D"/>
    <w:rsid w:val="009F30F2"/>
    <w:rsid w:val="009F7511"/>
    <w:rsid w:val="00A04653"/>
    <w:rsid w:val="00A07058"/>
    <w:rsid w:val="00A0793D"/>
    <w:rsid w:val="00A26F16"/>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296B"/>
    <w:rsid w:val="00B43A4B"/>
    <w:rsid w:val="00B54257"/>
    <w:rsid w:val="00B55B09"/>
    <w:rsid w:val="00B57B97"/>
    <w:rsid w:val="00B639A4"/>
    <w:rsid w:val="00B732EA"/>
    <w:rsid w:val="00B75AFF"/>
    <w:rsid w:val="00B77C93"/>
    <w:rsid w:val="00B810A7"/>
    <w:rsid w:val="00B81C24"/>
    <w:rsid w:val="00B855D2"/>
    <w:rsid w:val="00B933E6"/>
    <w:rsid w:val="00B9511F"/>
    <w:rsid w:val="00BA586B"/>
    <w:rsid w:val="00BC16C3"/>
    <w:rsid w:val="00BC3BEF"/>
    <w:rsid w:val="00BC5DBF"/>
    <w:rsid w:val="00BD2310"/>
    <w:rsid w:val="00BD646E"/>
    <w:rsid w:val="00BD7DA8"/>
    <w:rsid w:val="00BE534B"/>
    <w:rsid w:val="00BF1016"/>
    <w:rsid w:val="00BF1430"/>
    <w:rsid w:val="00BF34BE"/>
    <w:rsid w:val="00BF74A7"/>
    <w:rsid w:val="00C02C0E"/>
    <w:rsid w:val="00C05B65"/>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4E04"/>
    <w:rsid w:val="00CB2D4B"/>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A29C9"/>
    <w:rsid w:val="00DA34EC"/>
    <w:rsid w:val="00DA5D6E"/>
    <w:rsid w:val="00DA7C9A"/>
    <w:rsid w:val="00DB51BD"/>
    <w:rsid w:val="00DB7E6D"/>
    <w:rsid w:val="00DC0D14"/>
    <w:rsid w:val="00DC1652"/>
    <w:rsid w:val="00DD26B2"/>
    <w:rsid w:val="00DD27EE"/>
    <w:rsid w:val="00DD3734"/>
    <w:rsid w:val="00DE47C7"/>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A5C"/>
    <w:rsid w:val="00E61737"/>
    <w:rsid w:val="00E657F0"/>
    <w:rsid w:val="00E67B8C"/>
    <w:rsid w:val="00E8689B"/>
    <w:rsid w:val="00E907C2"/>
    <w:rsid w:val="00E92172"/>
    <w:rsid w:val="00EA2630"/>
    <w:rsid w:val="00EA62BF"/>
    <w:rsid w:val="00EC4569"/>
    <w:rsid w:val="00EC528C"/>
    <w:rsid w:val="00EC7366"/>
    <w:rsid w:val="00ED3FC2"/>
    <w:rsid w:val="00EE38B1"/>
    <w:rsid w:val="00EE7DA2"/>
    <w:rsid w:val="00EF67F1"/>
    <w:rsid w:val="00F00AFC"/>
    <w:rsid w:val="00F078B1"/>
    <w:rsid w:val="00F105B5"/>
    <w:rsid w:val="00F1066A"/>
    <w:rsid w:val="00F23224"/>
    <w:rsid w:val="00F235E2"/>
    <w:rsid w:val="00F2447E"/>
    <w:rsid w:val="00F2675A"/>
    <w:rsid w:val="00F30327"/>
    <w:rsid w:val="00F33F41"/>
    <w:rsid w:val="00F34392"/>
    <w:rsid w:val="00F41320"/>
    <w:rsid w:val="00F50D2E"/>
    <w:rsid w:val="00F53380"/>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D43F3"/>
    <w:rsid w:val="00FE4BF1"/>
    <w:rsid w:val="00FE71B1"/>
    <w:rsid w:val="00FF0B5B"/>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data40100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390/rs1020050" TargetMode="External"/><Relationship Id="rId4" Type="http://schemas.openxmlformats.org/officeDocument/2006/relationships/settings" Target="settings.xml"/><Relationship Id="rId9" Type="http://schemas.openxmlformats.org/officeDocument/2006/relationships/hyperlink" Target="https://doi.org/10.1126/science.123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28</cp:revision>
  <dcterms:created xsi:type="dcterms:W3CDTF">2023-03-28T16:41:00Z</dcterms:created>
  <dcterms:modified xsi:type="dcterms:W3CDTF">2023-05-16T14:56:00Z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