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 part 2</w:t>
      </w:r>
      <w:r>
        <w:t xml:space="preserve"> (embedded):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 xml:space="preserve">Binary dasymetric mapping: the main method to be </w:t>
      </w:r>
      <w:proofErr w:type="gramStart"/>
      <w:r>
        <w:t>used</w:t>
      </w:r>
      <w:proofErr w:type="gramEnd"/>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xml:space="preserve">; discuss pros and cons of different </w:t>
      </w:r>
      <w:proofErr w:type="gramStart"/>
      <w:r>
        <w:t>approaches</w:t>
      </w:r>
      <w:proofErr w:type="gramEnd"/>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 xml:space="preserve">Convert WorldPop raster into a vector geometry of gridded </w:t>
      </w:r>
      <w:proofErr w:type="gramStart"/>
      <w:r>
        <w:t>points</w:t>
      </w:r>
      <w:proofErr w:type="gramEnd"/>
    </w:p>
    <w:p w14:paraId="50905E27" w14:textId="659974A4" w:rsidR="00D8119A" w:rsidRDefault="00E342E3" w:rsidP="00E342E3">
      <w:pPr>
        <w:pStyle w:val="ListParagraph"/>
        <w:numPr>
          <w:ilvl w:val="3"/>
          <w:numId w:val="17"/>
        </w:numPr>
      </w:pPr>
      <w:r>
        <w:t xml:space="preserve">Clip the gridded population points to rural landscape (from GHSL): </w:t>
      </w:r>
      <w:proofErr w:type="spellStart"/>
      <w:r>
        <w:t>RuPoints</w:t>
      </w:r>
      <w:proofErr w:type="spellEnd"/>
      <w:r>
        <w:t xml:space="preserve">.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w:t>
      </w:r>
      <w:proofErr w:type="spellStart"/>
      <w:r>
        <w:t>AgPoints</w:t>
      </w:r>
      <w:proofErr w:type="spellEnd"/>
      <w:r>
        <w:t xml:space="preserve">. This will be used as the baseline estimate for distribution of ADP. </w:t>
      </w:r>
    </w:p>
    <w:p w14:paraId="72DC2643" w14:textId="25D2151D" w:rsidR="00E342E3" w:rsidRDefault="00E342E3" w:rsidP="00E342E3">
      <w:pPr>
        <w:pStyle w:val="ListParagraph"/>
        <w:numPr>
          <w:ilvl w:val="2"/>
          <w:numId w:val="17"/>
        </w:numPr>
      </w:pPr>
      <w:r>
        <w:t xml:space="preserve">Calculate aggregated </w:t>
      </w:r>
      <w:proofErr w:type="spellStart"/>
      <w:r>
        <w:t>AgPoints</w:t>
      </w:r>
      <w:proofErr w:type="spellEnd"/>
      <w:r>
        <w:t xml:space="preserve"> population estimate by </w:t>
      </w:r>
      <w:proofErr w:type="gramStart"/>
      <w:r>
        <w:t>district</w:t>
      </w:r>
      <w:proofErr w:type="gramEnd"/>
    </w:p>
    <w:p w14:paraId="6F9C70B2" w14:textId="35CA24BC" w:rsidR="00E342E3" w:rsidRDefault="00E342E3" w:rsidP="00E342E3">
      <w:pPr>
        <w:pStyle w:val="ListParagraph"/>
        <w:numPr>
          <w:ilvl w:val="2"/>
          <w:numId w:val="17"/>
        </w:numPr>
      </w:pPr>
      <w:r>
        <w:t xml:space="preserve">Validate </w:t>
      </w:r>
      <w:proofErr w:type="spellStart"/>
      <w:r>
        <w:t>AgPoints</w:t>
      </w:r>
      <w:proofErr w:type="spellEnd"/>
      <w:r>
        <w:t xml:space="preserve"> estimates against the district-level ADP calculated in Step (</w:t>
      </w:r>
      <w:proofErr w:type="spellStart"/>
      <w:r>
        <w:t>i</w:t>
      </w:r>
      <w:proofErr w:type="spellEnd"/>
      <w:r>
        <w:t xml:space="preserve">). </w:t>
      </w:r>
    </w:p>
    <w:p w14:paraId="606A4D73" w14:textId="582E9267" w:rsidR="00E342E3" w:rsidRDefault="00E342E3" w:rsidP="00E342E3">
      <w:pPr>
        <w:pStyle w:val="ListParagraph"/>
        <w:numPr>
          <w:ilvl w:val="2"/>
          <w:numId w:val="17"/>
        </w:numPr>
      </w:pPr>
      <w:r>
        <w:t xml:space="preserve">Use iterative buffer process to grow/retract </w:t>
      </w:r>
      <w:proofErr w:type="spellStart"/>
      <w:r>
        <w:t>AgPoints</w:t>
      </w:r>
      <w:proofErr w:type="spellEnd"/>
      <w:r>
        <w:t xml:space="preserve"> space across </w:t>
      </w:r>
      <w:proofErr w:type="spellStart"/>
      <w:r>
        <w:t>RuPoints</w:t>
      </w:r>
      <w:proofErr w:type="spellEnd"/>
      <w:r>
        <w:t xml:space="preserve">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430600C8" w14:textId="1E29E16F" w:rsidR="008B2B4B" w:rsidRDefault="00D57A7F" w:rsidP="008B2B4B">
      <w:pPr>
        <w:pStyle w:val="Heading1"/>
      </w:pPr>
      <w:r>
        <w:lastRenderedPageBreak/>
        <w:t>Spatial estimation of agricultural dependence</w:t>
      </w:r>
    </w:p>
    <w:p w14:paraId="06159211" w14:textId="4B6BD4E8" w:rsidR="00D57A7F" w:rsidRPr="00D57A7F" w:rsidRDefault="00D57A7F" w:rsidP="00D57A7F">
      <w:pPr>
        <w:pStyle w:val="Subtitle"/>
        <w:jc w:val="left"/>
        <w:rPr>
          <w:i/>
          <w:iCs/>
        </w:rPr>
      </w:pPr>
      <w:r w:rsidRPr="00D57A7F">
        <w:rPr>
          <w:i/>
          <w:iCs/>
        </w:rPr>
        <w:t>Using spatial disaggregation to identify agricultural populations in India.</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13F48495" w14:textId="2C8C3B40" w:rsidR="00A61EFB" w:rsidRPr="00A61EFB" w:rsidRDefault="00575B7B" w:rsidP="00D125F7">
      <w:pPr>
        <w:rPr>
          <w:color w:val="4472C4" w:themeColor="accent1"/>
        </w:rPr>
      </w:pPr>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1"/>
      <w:r w:rsidR="00D53B5B">
        <w:t xml:space="preserve">local </w:t>
      </w:r>
      <w:r>
        <w:t xml:space="preserve">demand on </w:t>
      </w:r>
      <w:r w:rsidR="00D53B5B">
        <w:t>water resources</w:t>
      </w:r>
      <w:commentRangeEnd w:id="1"/>
      <w:r w:rsidR="00D53B5B">
        <w:rPr>
          <w:rStyle w:val="CommentReference"/>
        </w:rPr>
        <w:commentReference w:id="1"/>
      </w:r>
      <w:r w:rsidR="00D53B5B">
        <w:t>.</w:t>
      </w:r>
      <w:r w:rsidR="00A61EFB" w:rsidRPr="00A61EFB">
        <w:rPr>
          <w:color w:val="4472C4" w:themeColor="accent1"/>
        </w:rPr>
        <w:t xml:space="preserve"> </w:t>
      </w:r>
    </w:p>
    <w:p w14:paraId="6C9EE655" w14:textId="296B341F" w:rsidR="00B75936" w:rsidRDefault="00B75936" w:rsidP="005A537D">
      <w:pPr>
        <w:pStyle w:val="Heading2"/>
        <w:numPr>
          <w:ilvl w:val="0"/>
          <w:numId w:val="19"/>
        </w:numPr>
        <w:rPr>
          <w:ins w:id="2" w:author="Joe P" w:date="2023-07-17T13:48:00Z"/>
        </w:rPr>
      </w:pPr>
      <w:ins w:id="3" w:author="Joe P" w:date="2023-07-17T13:48:00Z">
        <w:r>
          <w:t>Introduction</w:t>
        </w:r>
      </w:ins>
    </w:p>
    <w:p w14:paraId="7CF6D7BD" w14:textId="3EE830A4" w:rsidR="00A61EFB" w:rsidDel="00B75936" w:rsidRDefault="00A61EFB" w:rsidP="00DD2F1D">
      <w:pPr>
        <w:rPr>
          <w:del w:id="4" w:author="Joe P" w:date="2023-07-17T13:48:00Z"/>
        </w:rPr>
      </w:pPr>
      <w:del w:id="5" w:author="Joe P" w:date="2023-07-17T13:48:00Z">
        <w:r w:rsidDel="00B75936">
          <w:delText>Text</w:delText>
        </w:r>
      </w:del>
    </w:p>
    <w:p w14:paraId="711EB426" w14:textId="1C7D9064" w:rsidR="00B75936" w:rsidRPr="00B75936" w:rsidRDefault="00B75936" w:rsidP="00DD2F1D">
      <w:pPr>
        <w:rPr>
          <w:ins w:id="6" w:author="Joe P" w:date="2023-07-17T13:53:00Z"/>
          <w:i/>
          <w:iCs/>
          <w:rPrChange w:id="7" w:author="Joe P" w:date="2023-07-17T13:53:00Z">
            <w:rPr>
              <w:ins w:id="8" w:author="Joe P" w:date="2023-07-17T13:53:00Z"/>
            </w:rPr>
          </w:rPrChange>
        </w:rPr>
      </w:pPr>
      <w:ins w:id="9" w:author="Joe P" w:date="2023-07-17T13:53:00Z">
        <w:r>
          <w:rPr>
            <w:i/>
            <w:iCs/>
          </w:rPr>
          <w:t xml:space="preserve">Add to preamble a paragraph on the purpose of the study – water </w:t>
        </w:r>
        <w:proofErr w:type="gramStart"/>
        <w:r>
          <w:rPr>
            <w:i/>
            <w:iCs/>
          </w:rPr>
          <w:t>tanks, but</w:t>
        </w:r>
        <w:proofErr w:type="gramEnd"/>
        <w:r>
          <w:rPr>
            <w:i/>
            <w:iCs/>
          </w:rPr>
          <w:t xml:space="preserve"> extending to broader applications in food security </w:t>
        </w:r>
      </w:ins>
      <w:ins w:id="10" w:author="Joe P" w:date="2023-07-17T13:55:00Z">
        <w:r>
          <w:rPr>
            <w:i/>
            <w:iCs/>
          </w:rPr>
          <w:t xml:space="preserve">and response to climate change. </w:t>
        </w:r>
      </w:ins>
    </w:p>
    <w:p w14:paraId="482B8E60" w14:textId="142CCEA4" w:rsidR="00C27CEB" w:rsidRDefault="00CA4505" w:rsidP="00C27CEB">
      <w:pPr>
        <w:rPr>
          <w:ins w:id="11" w:author="Joe P" w:date="2023-07-17T13:49:00Z"/>
        </w:rPr>
      </w:pPr>
      <w:r>
        <w:t xml:space="preserve">This </w:t>
      </w:r>
      <w:del w:id="12" w:author="Joe P" w:date="2023-07-17T13:48:00Z">
        <w:r w:rsidDel="00B75936">
          <w:delText>literature review</w:delText>
        </w:r>
      </w:del>
      <w:ins w:id="13" w:author="Joe P" w:date="2023-07-17T13:48:00Z">
        <w:r w:rsidR="00B75936">
          <w:t>introduction</w:t>
        </w:r>
      </w:ins>
      <w:r>
        <w:t xml:space="preserve">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4A01D7CF" w14:textId="79E821CD" w:rsidR="00C27CEB" w:rsidRDefault="005A537D" w:rsidP="00C27CEB">
      <w:pPr>
        <w:pStyle w:val="Heading3"/>
      </w:pPr>
      <w:ins w:id="14" w:author="Joe P" w:date="2023-08-03T14:22:00Z">
        <w:r>
          <w:t xml:space="preserve">1.1 </w:t>
        </w:r>
      </w:ins>
      <w:ins w:id="15" w:author="Joe P" w:date="2023-07-17T13:49:00Z">
        <w:r w:rsidR="00C27CEB">
          <w:t>Research Question</w:t>
        </w:r>
      </w:ins>
    </w:p>
    <w:p w14:paraId="73CF8394" w14:textId="77777777" w:rsidR="00C27CEB" w:rsidRDefault="00C27CEB" w:rsidP="00C27CEB">
      <w:r>
        <w:t xml:space="preserve">As described in the introduction, the study aims to answer the research question, </w:t>
      </w:r>
    </w:p>
    <w:p w14:paraId="22C52113" w14:textId="020F9C52" w:rsidR="00BC10A5" w:rsidRDefault="00C27CEB" w:rsidP="00042EF4">
      <w:pPr>
        <w:rPr>
          <w:i/>
          <w:iCs/>
        </w:rPr>
      </w:pPr>
      <w:r w:rsidRPr="003E2185">
        <w:rPr>
          <w:i/>
          <w:iCs/>
        </w:rPr>
        <w:t xml:space="preserve">How can the agricultural population in India be identified at </w:t>
      </w:r>
      <w:r w:rsidR="00BC10A5">
        <w:rPr>
          <w:i/>
          <w:iCs/>
        </w:rPr>
        <w:t xml:space="preserve">a </w:t>
      </w:r>
      <w:r w:rsidR="00042EF4">
        <w:rPr>
          <w:i/>
          <w:iCs/>
        </w:rPr>
        <w:t>small area scale?</w:t>
      </w:r>
    </w:p>
    <w:p w14:paraId="11B3BE77" w14:textId="2796CE23" w:rsidR="00BC10A5" w:rsidRPr="00BC10A5" w:rsidRDefault="00BC10A5" w:rsidP="00B24EAF">
      <w:pPr>
        <w:rPr>
          <w:ins w:id="16" w:author="Joe P" w:date="2023-07-17T13:49:00Z"/>
        </w:rPr>
      </w:pPr>
      <w:r>
        <w:t>To respond to this</w:t>
      </w:r>
      <w:r w:rsidR="00B24EAF">
        <w:t xml:space="preserve">, the three objectives of this study are to: [1] Review existing methods for spatial disaggregation of demographic data, [2] Propose and evaluate a new method that combines dasymetric disaggregation and iterative extension (buffers), and [3] Scale the method up to estimate the small area agricultural population for all of India. </w:t>
      </w:r>
    </w:p>
    <w:p w14:paraId="1243F817" w14:textId="77777777" w:rsidR="00C27CEB" w:rsidRPr="00C61E47" w:rsidRDefault="00C27CEB" w:rsidP="00C61E47"/>
    <w:p w14:paraId="3956E7BE" w14:textId="0E2327BC" w:rsidR="00954694" w:rsidRPr="00954694" w:rsidRDefault="005A537D" w:rsidP="00954694">
      <w:pPr>
        <w:pStyle w:val="Heading3"/>
      </w:pPr>
      <w:ins w:id="17" w:author="Joe P" w:date="2023-08-03T14:22:00Z">
        <w:r>
          <w:lastRenderedPageBreak/>
          <w:t xml:space="preserve">1.2 </w:t>
        </w:r>
      </w:ins>
      <w:r w:rsidR="00424424">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w:t>
      </w:r>
      <w:commentRangeStart w:id="18"/>
      <w:r w:rsidR="002B000E">
        <w:t xml:space="preserve">such as water for irrigation. </w:t>
      </w:r>
      <w:r w:rsidR="00901D29">
        <w:t>In India</w:t>
      </w:r>
      <w:r w:rsidR="002B000E">
        <w:t>,</w:t>
      </w:r>
      <w:r w:rsidR="00901D29">
        <w:t xml:space="preserve"> particularly in southern states of </w:t>
      </w:r>
      <w:commentRangeEnd w:id="18"/>
      <w:r w:rsidR="004C36C8">
        <w:rPr>
          <w:rStyle w:val="CommentReference"/>
        </w:rPr>
        <w:commentReference w:id="18"/>
      </w:r>
      <w:r w:rsidR="00901D29">
        <w:t>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46563894" w:rsidR="007C27E8"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w:t>
      </w:r>
      <w:proofErr w:type="spellStart"/>
      <w:r w:rsidR="006D442B">
        <w:t>Zarkovich</w:t>
      </w:r>
      <w:proofErr w:type="spellEnd"/>
      <w:r w:rsidR="006D442B">
        <w:t xml:space="preserve">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6DF4E6C7" w14:textId="085010FE" w:rsidR="004C36C8" w:rsidRDefault="004C36C8" w:rsidP="00D92C6B">
      <w:commentRangeStart w:id="19"/>
      <w:r>
        <w:lastRenderedPageBreak/>
        <w:t>In this project, agricultural dependence is primarily understood from the lens of employment in the primary sector</w:t>
      </w:r>
      <w:commentRangeEnd w:id="19"/>
      <w:r w:rsidR="00304FFB">
        <w:rPr>
          <w:rStyle w:val="CommentReference"/>
        </w:rPr>
        <w:commentReference w:id="19"/>
      </w:r>
      <w:r>
        <w:t xml:space="preserve">. As recorded in the 2011 census, any worker who participated in agricultural labour </w:t>
      </w:r>
      <w:r w:rsidR="00304FFB">
        <w:t>…</w:t>
      </w:r>
    </w:p>
    <w:p w14:paraId="44B92533" w14:textId="6E42DCD3" w:rsidR="00461A73" w:rsidRPr="006D442B" w:rsidRDefault="00461A73" w:rsidP="00D92C6B">
      <w:r>
        <w:t>A more rigorous exploration of how best to define agricultural dependent population is outside the scope of this study. However, it is noted that further research into developing a systematic definition of agricultural dependence would improve the transferability of the findings of this study, and for comparison of findings across different settings, by ensuring</w:t>
      </w:r>
      <w:r w:rsidR="004C36C8">
        <w:t xml:space="preserve"> that interpretation of the term does not vary substantially between studies. </w:t>
      </w:r>
    </w:p>
    <w:p w14:paraId="78203C74" w14:textId="0C7C8DA5" w:rsidR="00C61E47" w:rsidRDefault="005A537D" w:rsidP="00C61E47">
      <w:pPr>
        <w:pStyle w:val="Heading3"/>
      </w:pPr>
      <w:ins w:id="20" w:author="Joe P" w:date="2023-08-03T14:22:00Z">
        <w:r>
          <w:t xml:space="preserve">1.3 </w:t>
        </w:r>
      </w:ins>
      <w:commentRangeStart w:id="21"/>
      <w:r w:rsidR="00C61E47">
        <w:t>Indian Context</w:t>
      </w:r>
      <w:commentRangeEnd w:id="21"/>
      <w:r w:rsidR="00774F9D">
        <w:rPr>
          <w:rStyle w:val="CommentReference"/>
          <w:rFonts w:asciiTheme="minorHAnsi" w:eastAsiaTheme="minorEastAsia" w:hAnsiTheme="minorHAnsi" w:cstheme="minorBidi"/>
          <w:b w:val="0"/>
          <w:spacing w:val="0"/>
        </w:rPr>
        <w:commentReference w:id="21"/>
      </w:r>
    </w:p>
    <w:p w14:paraId="50A5BB51" w14:textId="1E0CA487"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r w:rsidR="00921F8C">
        <w:t xml:space="preserve"> Districts vary </w:t>
      </w:r>
      <w:r w:rsidR="00CD2B96">
        <w:t>significantly</w:t>
      </w:r>
      <w:r w:rsidR="00921F8C">
        <w:t xml:space="preserve"> in size, population count, and population density, but on average </w:t>
      </w:r>
      <w:commentRangeStart w:id="22"/>
      <w:r w:rsidR="00921F8C">
        <w:t>cover [</w:t>
      </w:r>
      <w:r w:rsidR="00921F8C" w:rsidRPr="00921F8C">
        <w:rPr>
          <w:highlight w:val="yellow"/>
        </w:rPr>
        <w:t>X</w:t>
      </w:r>
      <w:r w:rsidR="00921F8C">
        <w:t>]</w:t>
      </w:r>
      <w:r w:rsidR="00CD2B96">
        <w:t xml:space="preserve"> km</w:t>
      </w:r>
      <w:r w:rsidR="00CD2B96">
        <w:rPr>
          <w:vertAlign w:val="superscript"/>
        </w:rPr>
        <w:t>2</w:t>
      </w:r>
      <w:r w:rsidR="00921F8C">
        <w:t xml:space="preserve"> and a population of [</w:t>
      </w:r>
      <w:r w:rsidR="00921F8C" w:rsidRPr="00921F8C">
        <w:rPr>
          <w:highlight w:val="yellow"/>
        </w:rPr>
        <w:t>X</w:t>
      </w:r>
      <w:r w:rsidR="00921F8C">
        <w:t>].</w:t>
      </w:r>
      <w:commentRangeEnd w:id="22"/>
      <w:r w:rsidR="00CD2B96">
        <w:rPr>
          <w:rStyle w:val="CommentReference"/>
        </w:rPr>
        <w:commentReference w:id="22"/>
      </w:r>
    </w:p>
    <w:p w14:paraId="10085BBA" w14:textId="6DF158AE" w:rsidR="00B75936"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p>
    <w:p w14:paraId="4BA77325" w14:textId="7E7AFF74" w:rsidR="00B75936" w:rsidRDefault="00B75936" w:rsidP="00C61E47">
      <w:pPr>
        <w:rPr>
          <w:ins w:id="23" w:author="Joe P" w:date="2023-07-17T13:48:00Z"/>
        </w:rPr>
      </w:pPr>
    </w:p>
    <w:p w14:paraId="6B203D8A" w14:textId="0B1E889B" w:rsidR="00B75936" w:rsidRDefault="00B75936">
      <w:pPr>
        <w:pStyle w:val="Heading2"/>
        <w:numPr>
          <w:ilvl w:val="0"/>
          <w:numId w:val="19"/>
        </w:numPr>
        <w:rPr>
          <w:ins w:id="24" w:author="Joe P" w:date="2023-07-17T13:49:00Z"/>
        </w:rPr>
        <w:pPrChange w:id="25" w:author="Joe P" w:date="2023-08-03T14:22:00Z">
          <w:pPr>
            <w:pStyle w:val="Heading2"/>
          </w:pPr>
        </w:pPrChange>
      </w:pPr>
      <w:ins w:id="26" w:author="Joe P" w:date="2023-07-17T13:49:00Z">
        <w:r>
          <w:t>Methodology</w:t>
        </w:r>
      </w:ins>
    </w:p>
    <w:p w14:paraId="396A5B56" w14:textId="13C288A5" w:rsidR="00B75936" w:rsidRPr="00B75936" w:rsidRDefault="00B75936" w:rsidP="00B75936">
      <w:pPr>
        <w:rPr>
          <w:i/>
          <w:iCs/>
          <w:rPrChange w:id="27" w:author="Joe P" w:date="2023-07-17T13:49:00Z">
            <w:rPr/>
          </w:rPrChange>
        </w:rPr>
      </w:pPr>
      <w:ins w:id="28" w:author="Joe P" w:date="2023-07-17T13:49:00Z">
        <w:r>
          <w:rPr>
            <w:i/>
            <w:iCs/>
          </w:rPr>
          <w:t>Add in intro text for the metho</w:t>
        </w:r>
      </w:ins>
      <w:ins w:id="29" w:author="Joe P" w:date="2023-07-17T13:50:00Z">
        <w:r>
          <w:rPr>
            <w:i/>
            <w:iCs/>
          </w:rPr>
          <w:t>dology section; what will be covered, how it ties the narrative from introduction section.</w:t>
        </w:r>
      </w:ins>
      <w:ins w:id="30" w:author="Joe P" w:date="2023-08-03T14:21:00Z">
        <w:r w:rsidR="005A537D">
          <w:rPr>
            <w:i/>
            <w:iCs/>
          </w:rPr>
          <w:t xml:space="preserve"> E.g. Section 2.1 (Spatial disaggregation), 2.2 (Justification), 2.3 (Presentation). </w:t>
        </w:r>
      </w:ins>
    </w:p>
    <w:p w14:paraId="6B2D5823" w14:textId="4A55BBC9" w:rsidR="00C61E47" w:rsidRDefault="005A537D" w:rsidP="00C61E47">
      <w:pPr>
        <w:pStyle w:val="Heading3"/>
      </w:pPr>
      <w:ins w:id="31" w:author="Joe P" w:date="2023-08-03T14:22:00Z">
        <w:r>
          <w:t xml:space="preserve">2.1 </w:t>
        </w:r>
      </w:ins>
      <w:r w:rsidR="00C61E47">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w:t>
      </w:r>
      <w:r>
        <w:lastRenderedPageBreak/>
        <w:t xml:space="preserve">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Leyk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r>
              <w:t>CIESIN</w:t>
            </w:r>
            <w:r w:rsidR="009C1B12">
              <w:rPr>
                <w:vertAlign w:val="superscript"/>
              </w:rPr>
              <w:t>a</w:t>
            </w:r>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r>
              <w:t>JRC</w:t>
            </w:r>
            <w:r w:rsidR="009C1B12">
              <w:rPr>
                <w:vertAlign w:val="superscript"/>
              </w:rPr>
              <w:t>b</w:t>
            </w:r>
            <w:r>
              <w:t xml:space="preserve"> and CIESIN</w:t>
            </w:r>
            <w:r w:rsidR="009C1B12">
              <w:rPr>
                <w:vertAlign w:val="superscript"/>
              </w:rPr>
              <w:t>a</w:t>
            </w:r>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r>
              <w:t>ORNL</w:t>
            </w:r>
            <w:r w:rsidR="009C1B12">
              <w:rPr>
                <w:vertAlign w:val="superscript"/>
              </w:rPr>
              <w:t>c</w:t>
            </w:r>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 xml:space="preserve">For </w:t>
      </w:r>
      <w:r w:rsidR="005A2CCD">
        <w:lastRenderedPageBreak/>
        <w:t>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w:t>
      </w:r>
      <w:proofErr w:type="gramStart"/>
      <w:r>
        <w:rPr>
          <w:color w:val="4472C4" w:themeColor="accent1"/>
        </w:rPr>
        <w:t>e.g.</w:t>
      </w:r>
      <w:proofErr w:type="gramEnd"/>
      <w:r>
        <w:rPr>
          <w:color w:val="4472C4" w:themeColor="accent1"/>
        </w:rPr>
        <w:t xml:space="preserve"> Comber 2019)</w:t>
      </w:r>
    </w:p>
    <w:p w14:paraId="77D2A7E2" w14:textId="2F57007D" w:rsidR="009325C2" w:rsidRDefault="009325C2" w:rsidP="00E56C6F">
      <w:r>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lastRenderedPageBreak/>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 xml:space="preserve">estimate elderly populations </w:t>
      </w:r>
      <w:r w:rsidR="007A4ED6">
        <w:lastRenderedPageBreak/>
        <w:t>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3C188459" w:rsidR="00102B31" w:rsidDel="0030188D" w:rsidRDefault="00CD3F46" w:rsidP="00CD3F46">
      <w:pPr>
        <w:pStyle w:val="Heading3"/>
        <w:rPr>
          <w:del w:id="32" w:author="Joe P" w:date="2023-08-03T12:07:00Z"/>
        </w:rPr>
      </w:pPr>
      <w:commentRangeStart w:id="33"/>
      <w:del w:id="34" w:author="Joe P" w:date="2023-08-03T12:07:00Z">
        <w:r w:rsidDel="0030188D">
          <w:delText>Conclusion</w:delText>
        </w:r>
      </w:del>
      <w:commentRangeEnd w:id="33"/>
      <w:r w:rsidR="0030188D">
        <w:rPr>
          <w:rStyle w:val="CommentReference"/>
          <w:rFonts w:asciiTheme="minorHAnsi" w:eastAsiaTheme="minorEastAsia" w:hAnsiTheme="minorHAnsi" w:cstheme="minorBidi"/>
          <w:b w:val="0"/>
          <w:spacing w:val="0"/>
        </w:rPr>
        <w:commentReference w:id="33"/>
      </w:r>
    </w:p>
    <w:p w14:paraId="60A622F5" w14:textId="705C6A56" w:rsidR="00CD3F46" w:rsidRDefault="00474658" w:rsidP="00CD3F46">
      <w:pPr>
        <w:rPr>
          <w:ins w:id="35" w:author="Joe P" w:date="2023-07-17T13:55:00Z"/>
        </w:rPr>
      </w:pPr>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89040FA" w14:textId="140403D4" w:rsidR="00B75936" w:rsidRDefault="005A537D" w:rsidP="00B75936">
      <w:pPr>
        <w:pStyle w:val="Heading3"/>
        <w:rPr>
          <w:ins w:id="36" w:author="Joe P" w:date="2023-07-17T13:56:00Z"/>
        </w:rPr>
      </w:pPr>
      <w:ins w:id="37" w:author="Joe P" w:date="2023-08-03T14:23:00Z">
        <w:r>
          <w:t xml:space="preserve">2.2 </w:t>
        </w:r>
      </w:ins>
      <w:ins w:id="38" w:author="Joe P" w:date="2023-07-17T13:55:00Z">
        <w:r w:rsidR="00B75936">
          <w:t xml:space="preserve">Justification of </w:t>
        </w:r>
      </w:ins>
      <w:ins w:id="39" w:author="Joe P" w:date="2023-07-17T13:56:00Z">
        <w:r w:rsidR="00B75936">
          <w:t>chosen method</w:t>
        </w:r>
      </w:ins>
    </w:p>
    <w:p w14:paraId="5F572780" w14:textId="5387C18E" w:rsidR="0016327D" w:rsidRDefault="00B75936" w:rsidP="0016327D">
      <w:pPr>
        <w:rPr>
          <w:i/>
          <w:iCs/>
        </w:rPr>
      </w:pPr>
      <w:ins w:id="40" w:author="Joe P" w:date="2023-07-17T13:56:00Z">
        <w:r>
          <w:rPr>
            <w:i/>
            <w:iCs/>
          </w:rPr>
          <w:t xml:space="preserve">After introducing the concepts and alternative approaches in LR sections above, introduce the chosen method for my study and explicitly justify why, linking to the discussion previous. </w:t>
        </w:r>
      </w:ins>
    </w:p>
    <w:p w14:paraId="54D03507" w14:textId="342C0A0D" w:rsidR="00700562" w:rsidRPr="00700562" w:rsidRDefault="00700562" w:rsidP="0016327D">
      <w:pPr>
        <w:rPr>
          <w:ins w:id="41" w:author="Joe P" w:date="2023-07-17T13:57:00Z"/>
          <w:color w:val="FF0000"/>
        </w:rPr>
      </w:pPr>
      <w:r>
        <w:rPr>
          <w:color w:val="FF0000"/>
        </w:rPr>
        <w:t xml:space="preserve">[Add in section introducing study area – incl. test site of </w:t>
      </w:r>
      <w:proofErr w:type="gramStart"/>
      <w:r>
        <w:rPr>
          <w:color w:val="FF0000"/>
        </w:rPr>
        <w:t>Karnataka;</w:t>
      </w:r>
      <w:proofErr w:type="gramEnd"/>
      <w:r>
        <w:rPr>
          <w:color w:val="FF0000"/>
        </w:rPr>
        <w:t xml:space="preserve"> links to Sri Lanka project] </w:t>
      </w:r>
    </w:p>
    <w:p w14:paraId="16CE04BE" w14:textId="2AB02CCD" w:rsidR="00B75936" w:rsidRDefault="005A537D" w:rsidP="00B75936">
      <w:pPr>
        <w:pStyle w:val="Heading3"/>
        <w:rPr>
          <w:ins w:id="42" w:author="Joe P" w:date="2023-07-17T13:57:00Z"/>
        </w:rPr>
      </w:pPr>
      <w:ins w:id="43" w:author="Joe P" w:date="2023-08-03T14:23:00Z">
        <w:r>
          <w:t>2.</w:t>
        </w:r>
      </w:ins>
      <w:ins w:id="44" w:author="Joe P" w:date="2023-08-03T14:26:00Z">
        <w:r w:rsidR="0016327D">
          <w:t>4</w:t>
        </w:r>
      </w:ins>
      <w:ins w:id="45" w:author="Joe P" w:date="2023-08-03T14:23:00Z">
        <w:r>
          <w:t xml:space="preserve"> </w:t>
        </w:r>
      </w:ins>
      <w:ins w:id="46" w:author="Joe P" w:date="2023-07-17T13:57:00Z">
        <w:r w:rsidR="00B75936">
          <w:t>Presentation of chosen method</w:t>
        </w:r>
      </w:ins>
    </w:p>
    <w:p w14:paraId="3F3CEEB8" w14:textId="1A1C5357" w:rsidR="00B75936" w:rsidRPr="00B75936" w:rsidRDefault="00B75936" w:rsidP="00B75936">
      <w:pPr>
        <w:rPr>
          <w:i/>
          <w:iCs/>
          <w:rPrChange w:id="47" w:author="Joe P" w:date="2023-07-17T13:57:00Z">
            <w:rPr/>
          </w:rPrChange>
        </w:rPr>
      </w:pPr>
      <w:ins w:id="48" w:author="Joe P" w:date="2023-07-17T13:57:00Z">
        <w:r>
          <w:rPr>
            <w:i/>
            <w:iCs/>
          </w:rPr>
          <w:t>Break down the approach in detai</w:t>
        </w:r>
      </w:ins>
      <w:ins w:id="49" w:author="Joe P" w:date="2023-08-03T14:20:00Z">
        <w:r w:rsidR="005A537D">
          <w:rPr>
            <w:i/>
            <w:iCs/>
          </w:rPr>
          <w:t>l.</w:t>
        </w:r>
      </w:ins>
    </w:p>
    <w:p w14:paraId="65696872" w14:textId="77777777" w:rsidR="0016327D" w:rsidRDefault="0016327D" w:rsidP="0016327D">
      <w:pPr>
        <w:pStyle w:val="Heading4"/>
        <w:numPr>
          <w:ilvl w:val="2"/>
          <w:numId w:val="19"/>
        </w:numPr>
      </w:pPr>
      <w:r>
        <w:t>Data Sources</w:t>
      </w:r>
    </w:p>
    <w:p w14:paraId="265198BE" w14:textId="77777777" w:rsidR="008276D4" w:rsidRDefault="0016327D" w:rsidP="0016327D">
      <w:r>
        <w:t xml:space="preserve">There are four key sources of data that form the input for this analysis: the Dynamic World land cover dataset (DW), the Global Human Settlement Layer – Settlement Model Grid (GHS-SMOD), the WorldPop gridded population estimates, and tables from the Indian Census 2011. </w:t>
      </w:r>
    </w:p>
    <w:p w14:paraId="6A8CA55B" w14:textId="5FA20C58" w:rsidR="008276D4" w:rsidRPr="003C1CCC" w:rsidRDefault="0064250D" w:rsidP="0016327D">
      <w:pPr>
        <w:rPr>
          <w:color w:val="FF0000"/>
        </w:rPr>
      </w:pPr>
      <w:r>
        <w:t xml:space="preserve">Dynamic World </w:t>
      </w:r>
      <w:r w:rsidR="00152FC0">
        <w:t>is a global-scale, high resolution</w:t>
      </w:r>
      <w:r w:rsidR="008656A8">
        <w:t xml:space="preserve"> (up to 10m)</w:t>
      </w:r>
      <w:r w:rsidR="00152FC0">
        <w:t xml:space="preserve">, land use land cover (LULC) dataset that is freely released as a Google Earth Engine Image Collection, available up to near real-time and historically from 2015 onwards </w:t>
      </w:r>
      <w:r w:rsidR="00152FC0">
        <w:fldChar w:fldCharType="begin"/>
      </w:r>
      <w:r w:rsidR="00152FC0">
        <w:instrText xml:space="preserve"> ADDIN ZOTERO_ITEM CSL_CITATION {"citationID":"mFZZqSyk","properties":{"formattedCitation":"(Brown {\\i{}et al.}, 2022)","plainCitation":"(Brown et al., 2022)","noteIndex":0},"citationItems":[{"id":6512,"uris":["http://zotero.org/users/10222370/items/3XUKAZY9"],"itemData":{"id":6512,"type":"article-journal","abstract":"Unlike satellite images, which are typically acquired and processed in near-real-time, global land cover products have historically been produced on an annual basis, often with substantial lag times between image processing and dataset release. We developed a new automated approach for globally consistent, high resolution, near real-time (NRT) land use land cover (LULC) classification leveraging deep learning on 10 m Sentinel-2 imagery. We utilize a highly scalable cloud-based system to apply this approach and provide an open, continuous feed of LULC predictions in parallel with Sentinel-2 acquisitions. This first-of-its-kind NRT product, which we collectively refer to as Dynamic World, accommodates a variety of user needs ranging from extremely up-to-date LULC data to custom global composites representing user-specified date ranges. Furthermore, the continuous nature of the product’s outputs enables refinement, extension, and even redefinition of the LULC classification. In combination, these unique attributes enable unprecedented flexibility for a diverse community of users across a variety of disciplines.","container-title":"Scientific Data","DOI":"10.1038/s41597-022-01307-4","ISSN":"2052-4463","issue":"1","journalAbbreviation":"Sci Data","language":"en","license":"2022 The Author(s)","note":"number: 1\npublisher: Nature Publishing Group","page":"251","source":"www.nature.com","title":"Dynamic World, Near real-time global 10 m land use land cover mapping","volume":"9","author":[{"family":"Brown","given":"Christopher F."},{"family":"Brumby","given":"Steven P."},{"family":"Guzder-Williams","given":"Brookie"},{"family":"Birch","given":"Tanya"},{"family":"Hyde","given":"Samantha Brooks"},{"family":"Mazzariello","given":"Joseph"},{"family":"Czerwinski","given":"Wanda"},{"family":"Pasquarella","given":"Valerie J."},{"family":"Haertel","given":"Robert"},{"family":"Ilyushchenko","given":"Simon"},{"family":"Schwehr","given":"Kurt"},{"family":"Weisse","given":"Mikaela"},{"family":"Stolle","given":"Fred"},{"family":"Hanson","given":"Craig"},{"family":"Guinan","given":"Oliver"},{"family":"Moore","given":"Rebecca"},{"family":"Tait","given":"Alexander M."}],"issued":{"date-parts":[["2022",6,9]]},"citation-key":"brownDynamicWorldRealtime2022"}}],"schema":"https://github.com/citation-style-language/schema/raw/master/csl-citation.json"} </w:instrText>
      </w:r>
      <w:r w:rsidR="00152FC0">
        <w:fldChar w:fldCharType="separate"/>
      </w:r>
      <w:r w:rsidR="00152FC0" w:rsidRPr="00152FC0">
        <w:rPr>
          <w:rFonts w:ascii="Arial" w:hAnsi="Arial" w:cs="Arial"/>
          <w:szCs w:val="24"/>
        </w:rPr>
        <w:t xml:space="preserve">(Brown </w:t>
      </w:r>
      <w:r w:rsidR="00152FC0" w:rsidRPr="00152FC0">
        <w:rPr>
          <w:rFonts w:ascii="Arial" w:hAnsi="Arial" w:cs="Arial"/>
          <w:i/>
          <w:iCs/>
          <w:szCs w:val="24"/>
        </w:rPr>
        <w:t>et al.</w:t>
      </w:r>
      <w:r w:rsidR="00152FC0" w:rsidRPr="00152FC0">
        <w:rPr>
          <w:rFonts w:ascii="Arial" w:hAnsi="Arial" w:cs="Arial"/>
          <w:szCs w:val="24"/>
        </w:rPr>
        <w:t>, 2022)</w:t>
      </w:r>
      <w:r w:rsidR="00152FC0">
        <w:fldChar w:fldCharType="end"/>
      </w:r>
      <w:r w:rsidR="00152FC0">
        <w:t xml:space="preserve">. </w:t>
      </w:r>
      <w:r w:rsidR="00C37EAC">
        <w:t xml:space="preserve">The dataset is trained using </w:t>
      </w:r>
      <w:r w:rsidR="00B50C4A">
        <w:t>semi-supervised deep learning</w:t>
      </w:r>
      <w:r w:rsidR="0045305C">
        <w:t xml:space="preserve"> from Sentinel-2 imagery</w:t>
      </w:r>
      <w:r w:rsidR="00B50C4A">
        <w:t xml:space="preserve"> and classifies pixels to 1 of 8 </w:t>
      </w:r>
      <w:r w:rsidR="008656A8">
        <w:t>types</w:t>
      </w:r>
      <w:r w:rsidR="00B50C4A">
        <w:t xml:space="preserve">: Water, Trees, Grass, Flooded Vegetation, Crops, Shrub &amp; Scrub, Built Area, Bare Ground, and Snow &amp; Ice. </w:t>
      </w:r>
      <w:r w:rsidR="00EF2DB8">
        <w:t>For this study, the</w:t>
      </w:r>
      <w:r w:rsidR="006639D8">
        <w:t xml:space="preserve"> DW layer </w:t>
      </w:r>
      <w:r w:rsidR="00A83330">
        <w:t>was</w:t>
      </w:r>
      <w:r w:rsidR="006639D8">
        <w:t xml:space="preserve"> extracted from </w:t>
      </w:r>
      <w:r w:rsidR="0045305C">
        <w:t>Google Earth Engine as a composite image</w:t>
      </w:r>
      <w:r w:rsidR="00EF2DB8">
        <w:t xml:space="preserve"> aggregated</w:t>
      </w:r>
      <w:r w:rsidR="0045305C">
        <w:t xml:space="preserve"> </w:t>
      </w:r>
      <w:r w:rsidR="00EF2DB8">
        <w:t>over the period</w:t>
      </w:r>
      <w:r w:rsidR="0045305C">
        <w:t xml:space="preserve"> 1</w:t>
      </w:r>
      <w:r w:rsidR="0045305C" w:rsidRPr="0045305C">
        <w:rPr>
          <w:vertAlign w:val="superscript"/>
        </w:rPr>
        <w:t>st</w:t>
      </w:r>
      <w:r w:rsidR="0045305C">
        <w:t xml:space="preserve"> January 2020 to 1</w:t>
      </w:r>
      <w:r w:rsidR="0045305C" w:rsidRPr="0045305C">
        <w:rPr>
          <w:vertAlign w:val="superscript"/>
        </w:rPr>
        <w:t>st</w:t>
      </w:r>
      <w:r w:rsidR="0045305C">
        <w:t xml:space="preserve"> January 2021</w:t>
      </w:r>
      <w:r w:rsidR="00EF2DB8">
        <w:t xml:space="preserve">, </w:t>
      </w:r>
      <w:r w:rsidR="00914A21">
        <w:t xml:space="preserve">selecting </w:t>
      </w:r>
      <w:r w:rsidR="00EF2DB8">
        <w:t>the most frequently occurring class label for each pixel over the specified period</w:t>
      </w:r>
      <w:r w:rsidR="0045305C">
        <w:t>.</w:t>
      </w:r>
      <w:r w:rsidR="00883002">
        <w:t xml:space="preserve"> See appendix [</w:t>
      </w:r>
      <w:r w:rsidR="00883002" w:rsidRPr="00883002">
        <w:rPr>
          <w:highlight w:val="yellow"/>
        </w:rPr>
        <w:t>X</w:t>
      </w:r>
      <w:r w:rsidR="00883002">
        <w:t xml:space="preserve">] for the script used to extract data from Earth Engine. </w:t>
      </w:r>
      <w:r w:rsidR="003C1CCC">
        <w:rPr>
          <w:color w:val="FF0000"/>
        </w:rPr>
        <w:t>[Add section on why the 100m resolution chosen].</w:t>
      </w:r>
      <w:r w:rsidR="00883002">
        <w:rPr>
          <w:color w:val="FF0000"/>
        </w:rPr>
        <w:t xml:space="preserve"> </w:t>
      </w:r>
    </w:p>
    <w:p w14:paraId="3D03DC3E" w14:textId="26EB37ED" w:rsidR="008656A8" w:rsidRDefault="008656A8" w:rsidP="0016327D">
      <w:r>
        <w:lastRenderedPageBreak/>
        <w:t xml:space="preserve">The Global Human Settlement Layer </w:t>
      </w:r>
      <w:r w:rsidR="006639D8">
        <w:t>is a set of</w:t>
      </w:r>
      <w:r w:rsidR="000B7FDB">
        <w:t xml:space="preserve"> several datasets </w:t>
      </w:r>
      <w:r w:rsidR="006639D8">
        <w:t>that present</w:t>
      </w:r>
      <w:r w:rsidR="000B7FDB">
        <w:t xml:space="preserve"> the spatial distribution of urbanisation and human presence across the world, developed by the Joint Research Centre of the European Commission. The GHS-SMOD is an extension of the settlement layer that applies the Degree of Urbanisation methodology</w:t>
      </w:r>
      <w:r w:rsidR="00280F25">
        <w:t xml:space="preserve"> </w:t>
      </w:r>
      <w:r w:rsidR="00280F25">
        <w:fldChar w:fldCharType="begin"/>
      </w:r>
      <w:r w:rsidR="00280F25">
        <w:instrText xml:space="preserve"> ADDIN ZOTERO_ITEM CSL_CITATION {"citationID":"zChZ8cpW","properties":{"formattedCitation":"(Eurostat: European Commission, 2021)","plainCitation":"(Eurostat: European Commission, 2021)","noteIndex":0},"citationItems":[{"id":6537,"uris":["http://zotero.org/users/10222370/items/8E5PT5TK"],"itemData":{"id":6537,"type":"book","abstract":"'Applying the degree of urbanisation — methodological manual to define cities, towns and rural areas for international comparisons' has been produced in close collaboration by six organisations — the European Commission, the Food and Agriculture Organization of the United Nations (FAO), the United Nations Human Settlements Programme (UNHabitat), the International Labour Organization (ILO), the Organisation for Economic Co-operation and Development (OECD) and The World Bank. This manual develops a harmonised methodology to facilitate international statistical comparisons and to classify the entire territory of a country along an urban-rural continuum. The degree of urbanisation classification defines cities, towns and semi-dense areas, and rural areas. This first level of the classification may be complemented by a range of more detailed concepts, such as: metropolitan areas, commuting zones, dense towns, semi-dense towns, suburban or peri-urban areas, villages, dispersed rural areas and mostly uninhabited areas. The manual is intended to complement and not replace the definitions used by national statistical offices (NSOs) and ministries. It has been designed principally as a guide for data producers, suppliers and statisticians so that they have the necessary information to implement the methodology and ensure coherency within their data collections. It may also be of interest to users of subnational statistics so they may better understand, interpret and use official subnational statistics for taking informed decisions and policymaking.","call-number":"KS-02-20-499-EN-N","event-place":"LU","ISBN":"978-92-76-20306-3","language":"eng","publisher":"Publications Office of the European Union","publisher-place":"LU","source":"Publications Office of the European Union","title":"Applying the degree of urbanisation: a methodological manual to define cities, towns and rural areas for international comparisons : 2021 edition","title-short":"Applying the degree of urbanisation","URL":"https://data.europa.eu/doi/10.2785/706535","author":[{"literal":"Eurostat: European Commission"}],"accessed":{"date-parts":[["2023",8,4]]},"issued":{"date-parts":[["2021"]]},"citation-key":"eurostat:europeancommissionApplyingDegreeUrbanisation2021"}}],"schema":"https://github.com/citation-style-language/schema/raw/master/csl-citation.json"} </w:instrText>
      </w:r>
      <w:r w:rsidR="00280F25">
        <w:fldChar w:fldCharType="separate"/>
      </w:r>
      <w:r w:rsidR="00280F25" w:rsidRPr="00280F25">
        <w:rPr>
          <w:rFonts w:ascii="Arial" w:hAnsi="Arial" w:cs="Arial"/>
        </w:rPr>
        <w:t>(Eurostat: European Commission, 2021)</w:t>
      </w:r>
      <w:r w:rsidR="00280F25">
        <w:fldChar w:fldCharType="end"/>
      </w:r>
      <w:r w:rsidR="000B7FDB">
        <w:t xml:space="preserve"> to </w:t>
      </w:r>
      <w:r w:rsidR="00280F25">
        <w:t xml:space="preserve">classify pixels </w:t>
      </w:r>
      <w:r w:rsidR="003B4347">
        <w:t>into an urban/rural typology on the basis of population density, size, and contiguity</w:t>
      </w:r>
      <w:r w:rsidR="00A83330">
        <w:t xml:space="preserve"> (Table 2) at a 1km spatial resolution</w:t>
      </w:r>
      <w:r w:rsidR="000759DD">
        <w:t xml:space="preserve"> in 5-yearly epochs</w:t>
      </w:r>
      <w:r w:rsidR="00A83330">
        <w:t xml:space="preserve">. GHS-SMOD data was downloaded </w:t>
      </w:r>
      <w:r w:rsidR="000759DD">
        <w:t xml:space="preserve">for the year 2010 </w:t>
      </w:r>
      <w:r w:rsidR="00A83330">
        <w:t xml:space="preserve">from </w:t>
      </w:r>
      <w:r w:rsidR="000759DD">
        <w:t xml:space="preserve">the </w:t>
      </w:r>
      <w:r w:rsidR="00A83330">
        <w:t>European Commission GHSL website (</w:t>
      </w:r>
      <w:hyperlink r:id="rId11" w:history="1">
        <w:r w:rsidR="00A83330" w:rsidRPr="0013364D">
          <w:rPr>
            <w:rStyle w:val="Hyperlink"/>
          </w:rPr>
          <w:t>https://ghsl.jrc.ec.europa.eu/ghs_smod2023.php</w:t>
        </w:r>
      </w:hyperlink>
      <w:r w:rsidR="00A83330">
        <w:t>)</w:t>
      </w:r>
      <w:r w:rsidR="000759DD">
        <w:t>, to align closest with the 2011 Indian Census data</w:t>
      </w:r>
      <w:r w:rsidR="00A83330">
        <w:t xml:space="preserve">. </w:t>
      </w:r>
    </w:p>
    <w:p w14:paraId="3AA6C5D6" w14:textId="083688F2" w:rsidR="003B4347" w:rsidRDefault="003B4347" w:rsidP="003B4347">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00F26B03">
        <w:t xml:space="preserve">Global Human Settlement Layer – Settlement Model Grid </w:t>
      </w:r>
      <w:r w:rsidR="00F26B03">
        <w:t xml:space="preserve">(GHS-SMOD) </w:t>
      </w:r>
      <w:r>
        <w:t xml:space="preserve">Classification Rules </w:t>
      </w:r>
      <w:r w:rsidR="006639D8">
        <w:fldChar w:fldCharType="begin"/>
      </w:r>
      <w:r w:rsidR="006639D8">
        <w:instrText xml:space="preserve"> ADDIN ZOTERO_ITEM CSL_CITATION {"citationID":"0Tv2ElLd","properties":{"formattedCitation":"(Schiavina, Melchiorri and Pesaresi, 2023)","plainCitation":"(Schiavina, Melchiorri and Pesaresi, 2023)","noteIndex":0},"citationItems":[{"id":6509,"uris":["http://zotero.org/users/10222370/items/H234KAMH"],"itemData":{"id":6509,"type":"dataset","DOI":"10.2905/A0DF7A6F-49DE-46EA-9BDE-563437A6E2BA","publisher":"European Commission, Join Research Centre (JRC)","title":"GHS-SMOD R2023A - GHS settlement layers,  application of the Degree of Urbanisation methodology (stage I) to GHS-POP R2023A and GHS-BUILT-S R2023A,  multitemporal (1975-2030).","author":[{"family":"Schiavina","given":"Marcello"},{"family":"Melchiorri","given":"Michele"},{"family":"Pesaresi","given":"Martino"}],"issued":{"date-parts":[["2023"]]},"citation-key":"schiavinaGHSSMODR2023AGHS2023"}}],"schema":"https://github.com/citation-style-language/schema/raw/master/csl-citation.json"} </w:instrText>
      </w:r>
      <w:r w:rsidR="006639D8">
        <w:fldChar w:fldCharType="separate"/>
      </w:r>
      <w:r w:rsidR="006639D8" w:rsidRPr="006639D8">
        <w:rPr>
          <w:rFonts w:ascii="Arial" w:hAnsi="Arial" w:cs="Arial"/>
        </w:rPr>
        <w:t>(Schiavina, Melchiorri and Pesaresi, 2023)</w:t>
      </w:r>
      <w:r w:rsidR="006639D8">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2410"/>
        <w:gridCol w:w="5197"/>
      </w:tblGrid>
      <w:tr w:rsidR="003B4347" w14:paraId="4C4D0907" w14:textId="77777777" w:rsidTr="003B4347">
        <w:tc>
          <w:tcPr>
            <w:tcW w:w="786" w:type="pct"/>
            <w:tcBorders>
              <w:top w:val="single" w:sz="8" w:space="0" w:color="auto"/>
              <w:bottom w:val="single" w:sz="8" w:space="0" w:color="auto"/>
            </w:tcBorders>
          </w:tcPr>
          <w:p w14:paraId="2B006AE6" w14:textId="73B14875" w:rsidR="003B4347" w:rsidRPr="00FB3596" w:rsidRDefault="003B4347" w:rsidP="005807F0">
            <w:pPr>
              <w:pStyle w:val="TableText"/>
              <w:rPr>
                <w:b/>
                <w:bCs/>
              </w:rPr>
            </w:pPr>
            <w:r>
              <w:rPr>
                <w:b/>
                <w:bCs/>
              </w:rPr>
              <w:t>Class</w:t>
            </w:r>
          </w:p>
        </w:tc>
        <w:tc>
          <w:tcPr>
            <w:tcW w:w="1335" w:type="pct"/>
            <w:tcBorders>
              <w:top w:val="single" w:sz="8" w:space="0" w:color="auto"/>
              <w:bottom w:val="single" w:sz="8" w:space="0" w:color="auto"/>
            </w:tcBorders>
          </w:tcPr>
          <w:p w14:paraId="4A11D052" w14:textId="27DFC129" w:rsidR="003B4347" w:rsidRPr="003B4347" w:rsidRDefault="003B4347" w:rsidP="005807F0">
            <w:pPr>
              <w:pStyle w:val="TableText"/>
              <w:rPr>
                <w:b/>
                <w:bCs/>
              </w:rPr>
            </w:pPr>
            <w:r>
              <w:rPr>
                <w:b/>
                <w:bCs/>
              </w:rPr>
              <w:t>Population Density (km</w:t>
            </w:r>
            <w:r>
              <w:rPr>
                <w:b/>
                <w:bCs/>
                <w:vertAlign w:val="superscript"/>
              </w:rPr>
              <w:t>2</w:t>
            </w:r>
            <w:r>
              <w:rPr>
                <w:b/>
                <w:bCs/>
              </w:rPr>
              <w:t>)</w:t>
            </w:r>
          </w:p>
        </w:tc>
        <w:tc>
          <w:tcPr>
            <w:tcW w:w="2879" w:type="pct"/>
            <w:tcBorders>
              <w:top w:val="single" w:sz="8" w:space="0" w:color="auto"/>
              <w:bottom w:val="single" w:sz="8" w:space="0" w:color="auto"/>
            </w:tcBorders>
          </w:tcPr>
          <w:p w14:paraId="26B36C43" w14:textId="666BAA77" w:rsidR="003B4347" w:rsidRPr="00FB3596" w:rsidRDefault="003B4347" w:rsidP="005807F0">
            <w:pPr>
              <w:pStyle w:val="TableText"/>
              <w:rPr>
                <w:b/>
                <w:bCs/>
              </w:rPr>
            </w:pPr>
            <w:r>
              <w:rPr>
                <w:b/>
                <w:bCs/>
              </w:rPr>
              <w:t>Definition</w:t>
            </w:r>
          </w:p>
        </w:tc>
      </w:tr>
      <w:tr w:rsidR="003B4347" w14:paraId="07A106E8" w14:textId="77777777" w:rsidTr="003B4347">
        <w:tc>
          <w:tcPr>
            <w:tcW w:w="786" w:type="pct"/>
            <w:tcBorders>
              <w:top w:val="single" w:sz="8" w:space="0" w:color="auto"/>
            </w:tcBorders>
          </w:tcPr>
          <w:p w14:paraId="42601E58" w14:textId="6AF181F7" w:rsidR="003B4347" w:rsidRPr="003B4347" w:rsidRDefault="003B4347" w:rsidP="003B4347">
            <w:pPr>
              <w:pStyle w:val="TableText"/>
            </w:pPr>
            <w:r w:rsidRPr="003B4347">
              <w:t>Urban Centre</w:t>
            </w:r>
          </w:p>
        </w:tc>
        <w:tc>
          <w:tcPr>
            <w:tcW w:w="1335" w:type="pct"/>
            <w:tcBorders>
              <w:top w:val="single" w:sz="8" w:space="0" w:color="auto"/>
            </w:tcBorders>
          </w:tcPr>
          <w:p w14:paraId="7C78F6C6" w14:textId="2190A08F" w:rsidR="003B4347" w:rsidRPr="003B4347" w:rsidRDefault="003B4347" w:rsidP="003B4347">
            <w:pPr>
              <w:pStyle w:val="TableText"/>
            </w:pPr>
            <w:r>
              <w:t>&gt;1,500</w:t>
            </w:r>
          </w:p>
        </w:tc>
        <w:tc>
          <w:tcPr>
            <w:tcW w:w="2879" w:type="pct"/>
            <w:tcBorders>
              <w:top w:val="single" w:sz="8" w:space="0" w:color="auto"/>
            </w:tcBorders>
          </w:tcPr>
          <w:p w14:paraId="4E3CA55F" w14:textId="67F65226" w:rsidR="003B4347" w:rsidRPr="003B4347" w:rsidRDefault="003B4347" w:rsidP="003B4347">
            <w:pPr>
              <w:pStyle w:val="TableText"/>
            </w:pPr>
            <w:r>
              <w:t xml:space="preserve">Contiguous grid cells (4-conectivity) that has at least 50,000 inhabitants in the high-density cluster. </w:t>
            </w:r>
          </w:p>
        </w:tc>
      </w:tr>
      <w:tr w:rsidR="003B4347" w14:paraId="67CE3EFA" w14:textId="77777777" w:rsidTr="003B4347">
        <w:tc>
          <w:tcPr>
            <w:tcW w:w="786" w:type="pct"/>
          </w:tcPr>
          <w:p w14:paraId="47929A25" w14:textId="51B70970" w:rsidR="003B4347" w:rsidRPr="003B4347" w:rsidRDefault="003B4347" w:rsidP="003B4347">
            <w:pPr>
              <w:pStyle w:val="TableText"/>
            </w:pPr>
            <w:r w:rsidRPr="003B4347">
              <w:t>Urban Cluster</w:t>
            </w:r>
          </w:p>
        </w:tc>
        <w:tc>
          <w:tcPr>
            <w:tcW w:w="1335" w:type="pct"/>
          </w:tcPr>
          <w:p w14:paraId="5E304931" w14:textId="288EE80C" w:rsidR="003B4347" w:rsidRPr="003B4347" w:rsidRDefault="003B4347" w:rsidP="003B4347">
            <w:pPr>
              <w:pStyle w:val="TableText"/>
            </w:pPr>
            <w:r>
              <w:t>300 – 1,500</w:t>
            </w:r>
          </w:p>
        </w:tc>
        <w:tc>
          <w:tcPr>
            <w:tcW w:w="2879" w:type="pct"/>
          </w:tcPr>
          <w:p w14:paraId="559C49F6" w14:textId="5351AF4F" w:rsidR="003B4347" w:rsidRPr="003B4347" w:rsidRDefault="003B4347" w:rsidP="003B4347">
            <w:pPr>
              <w:pStyle w:val="TableText"/>
            </w:pPr>
            <w:r>
              <w:t xml:space="preserve">Contiguous grid cells (8-connectivity) that has at least 5,000 inhabitants in the cluster. </w:t>
            </w:r>
          </w:p>
        </w:tc>
      </w:tr>
      <w:tr w:rsidR="003B4347" w14:paraId="13794584" w14:textId="77777777" w:rsidTr="003B4347">
        <w:tc>
          <w:tcPr>
            <w:tcW w:w="786" w:type="pct"/>
            <w:tcBorders>
              <w:bottom w:val="single" w:sz="8" w:space="0" w:color="auto"/>
            </w:tcBorders>
          </w:tcPr>
          <w:p w14:paraId="3C3F6E06" w14:textId="7AD9557F" w:rsidR="003B4347" w:rsidRPr="003B4347" w:rsidRDefault="003B4347" w:rsidP="003B4347">
            <w:pPr>
              <w:pStyle w:val="TableText"/>
            </w:pPr>
            <w:r w:rsidRPr="003B4347">
              <w:t>Rural</w:t>
            </w:r>
          </w:p>
        </w:tc>
        <w:tc>
          <w:tcPr>
            <w:tcW w:w="1335" w:type="pct"/>
            <w:tcBorders>
              <w:bottom w:val="single" w:sz="8" w:space="0" w:color="auto"/>
            </w:tcBorders>
          </w:tcPr>
          <w:p w14:paraId="686CBC76" w14:textId="21F9C43E" w:rsidR="003B4347" w:rsidRPr="003B4347" w:rsidRDefault="003B4347" w:rsidP="003B4347">
            <w:pPr>
              <w:pStyle w:val="TableText"/>
            </w:pPr>
            <w:r>
              <w:t>&lt;300</w:t>
            </w:r>
          </w:p>
        </w:tc>
        <w:tc>
          <w:tcPr>
            <w:tcW w:w="2879" w:type="pct"/>
            <w:tcBorders>
              <w:bottom w:val="single" w:sz="8" w:space="0" w:color="auto"/>
            </w:tcBorders>
          </w:tcPr>
          <w:p w14:paraId="2C42A323" w14:textId="09F4FBDE" w:rsidR="003B4347" w:rsidRPr="003B4347" w:rsidRDefault="003B4347" w:rsidP="003B4347">
            <w:pPr>
              <w:pStyle w:val="TableText"/>
            </w:pPr>
            <w:r>
              <w:t xml:space="preserve">All other cells that do not belong to an urban cluster. </w:t>
            </w:r>
          </w:p>
        </w:tc>
      </w:tr>
    </w:tbl>
    <w:p w14:paraId="37A02283" w14:textId="77777777" w:rsidR="003B4347" w:rsidRDefault="003B4347" w:rsidP="0016327D"/>
    <w:p w14:paraId="4F3E83B3" w14:textId="77777777" w:rsidR="00342554" w:rsidRDefault="00F26B03" w:rsidP="0016327D">
      <w:r>
        <w:t xml:space="preserve">Gridded population data were downloaded from WorldPop as 1km resolution United Nations adjusted estimates </w:t>
      </w:r>
      <w:r w:rsidR="00700562">
        <w:t xml:space="preserve">for 2011, </w:t>
      </w:r>
      <w:r>
        <w:t>using an unconstrained top-down method</w:t>
      </w:r>
      <w:r w:rsidR="00700562">
        <w:t>.</w:t>
      </w:r>
      <w:r w:rsidR="00CD2B96">
        <w:t xml:space="preserve"> </w:t>
      </w:r>
      <w:r w:rsidR="00A044AB">
        <w:t xml:space="preserve">Tables from the Indian Census were used </w:t>
      </w:r>
      <w:r w:rsidR="00921F8C">
        <w:t xml:space="preserve">to calculate total population and agricultural dependent population at the state and district level. </w:t>
      </w:r>
    </w:p>
    <w:p w14:paraId="01366BBC" w14:textId="45CC5815" w:rsidR="00342554" w:rsidRDefault="00CF1A5B" w:rsidP="00342554">
      <w:pPr>
        <w:pStyle w:val="Heading4"/>
        <w:numPr>
          <w:ilvl w:val="2"/>
          <w:numId w:val="19"/>
        </w:numPr>
      </w:pPr>
      <w:r>
        <w:t xml:space="preserve">Computing Agricultural Dependent Population </w:t>
      </w:r>
    </w:p>
    <w:p w14:paraId="2425B1C4" w14:textId="32552D02" w:rsidR="00CF1A5B" w:rsidDel="00355689" w:rsidRDefault="00CF1A5B" w:rsidP="00CF1A5B">
      <w:pPr>
        <w:rPr>
          <w:del w:id="50" w:author="Joe P" w:date="2023-08-05T00:55:00Z"/>
        </w:rPr>
      </w:pPr>
      <w:del w:id="51" w:author="Joe P" w:date="2023-08-05T00:55:00Z">
        <w:r w:rsidDel="00355689">
          <w:delText xml:space="preserve">To produce a </w:delText>
        </w:r>
        <w:r w:rsidR="00355689" w:rsidDel="00355689">
          <w:delText>small area</w:delText>
        </w:r>
        <w:r w:rsidDel="00355689">
          <w:delText xml:space="preserve"> estimate of ADP, a raster of gridded population</w:delText>
        </w:r>
        <w:r w:rsidR="00355689" w:rsidDel="00355689">
          <w:delText xml:space="preserve"> (WorldPop)</w:delText>
        </w:r>
        <w:r w:rsidDel="00355689">
          <w:delText xml:space="preserve"> was converted to point vectors, and the points then joined to a polygon </w:delText>
        </w:r>
        <w:r w:rsidR="00355689" w:rsidDel="00355689">
          <w:delText xml:space="preserve">of the cropland area. </w:delText>
        </w:r>
      </w:del>
    </w:p>
    <w:p w14:paraId="5782BD5A" w14:textId="6548B9FB" w:rsidR="00355689" w:rsidRDefault="00355689" w:rsidP="00CF1A5B">
      <w:r>
        <w:t xml:space="preserve">To respond to Objective [2], a novel approach to estimating small area spatial distribution of agricultural population has been proposed and tested. First, LULC data (DW) was used to create a binary mask of cropland for each district in India. Gridded population estimates from WorldPop were then joined to cropland areas, to produce a base estimate of ADP that encompasses all inhabitants in crop landcover – this is referred to as the </w:t>
      </w:r>
      <w:r w:rsidR="00A02BB9">
        <w:t>aggregated</w:t>
      </w:r>
      <w:r w:rsidRPr="00A02BB9">
        <w:t xml:space="preserve"> ADP</w:t>
      </w:r>
      <w:r w:rsidR="00A02BB9">
        <w:t>, or ADP</w:t>
      </w:r>
      <w:r w:rsidR="00A02BB9">
        <w:rPr>
          <w:vertAlign w:val="subscript"/>
        </w:rPr>
        <w:t>A</w:t>
      </w:r>
      <w:r>
        <w:t>.</w:t>
      </w:r>
      <w:r w:rsidR="00A02BB9">
        <w:t xml:space="preserve"> </w:t>
      </w:r>
    </w:p>
    <w:p w14:paraId="14E0DE21" w14:textId="66999F7A" w:rsidR="00304FFB" w:rsidRDefault="00A02BB9" w:rsidP="00CF1A5B">
      <w:r>
        <w:t>A district-level estimate of ADP was separately calculated from Indian Census data, using a combination of total population counts and count of employment by industry</w:t>
      </w:r>
      <w:r w:rsidR="00DC5F99">
        <w:t xml:space="preserve"> – referred to as the census ADP, or ADP</w:t>
      </w:r>
      <w:r w:rsidR="00DC5F99">
        <w:rPr>
          <w:vertAlign w:val="subscript"/>
        </w:rPr>
        <w:t>C</w:t>
      </w:r>
      <w:r w:rsidR="00DC5F99">
        <w:t>. As discussed above, ADP itself is a broad concept that is not well defined in the literature. Therefore, a series of 5 alternative ADP</w:t>
      </w:r>
      <w:r w:rsidR="00DC5F99">
        <w:rPr>
          <w:vertAlign w:val="subscript"/>
        </w:rPr>
        <w:t>c</w:t>
      </w:r>
      <w:r w:rsidR="00DC5F99">
        <w:t xml:space="preserve"> estimates were calculated, to compare the </w:t>
      </w:r>
      <w:r w:rsidR="00304FFB">
        <w:t>…</w:t>
      </w:r>
      <w:r w:rsidR="00DC5F99">
        <w:t xml:space="preserve"> as outlined in Equations 1 to 5. </w:t>
      </w:r>
    </w:p>
    <w:p w14:paraId="669122EC" w14:textId="0099A0CB" w:rsidR="00304FFB" w:rsidRPr="00304FFB" w:rsidRDefault="00304FFB" w:rsidP="0067793C">
      <w:pPr>
        <w:jc w:val="left"/>
      </w:pPr>
      <w:r>
        <w:lastRenderedPageBreak/>
        <w:t xml:space="preserve">[1] </w:t>
      </w:r>
      <m:oMath>
        <m:sSub>
          <m:sSubPr>
            <m:ctrlPr>
              <w:rPr>
                <w:rFonts w:ascii="Cambria Math" w:hAnsi="Cambria Math"/>
                <w:i/>
              </w:rPr>
            </m:ctrlPr>
          </m:sSubPr>
          <m:e>
            <m:r>
              <w:rPr>
                <w:rFonts w:ascii="Cambria Math" w:hAnsi="Cambria Math"/>
              </w:rPr>
              <m:t>ADP</m:t>
            </m:r>
          </m:e>
          <m:sub>
            <m:r>
              <w:rPr>
                <w:rFonts w:ascii="Cambria Math" w:hAnsi="Cambria Math"/>
              </w:rPr>
              <m:t>C</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Cultivators</m:t>
            </m:r>
          </m:e>
          <m:sub>
            <m:r>
              <w:rPr>
                <w:rFonts w:ascii="Cambria Math" w:hAnsi="Cambria Math"/>
              </w:rPr>
              <m:t>Main</m:t>
            </m:r>
          </m:sub>
        </m:sSub>
        <m:r>
          <w:rPr>
            <w:rFonts w:ascii="Cambria Math" w:hAnsi="Cambria Math"/>
          </w:rPr>
          <m:t>+</m:t>
        </m:r>
        <m:sSub>
          <m:sSubPr>
            <m:ctrlPr>
              <w:rPr>
                <w:rFonts w:ascii="Cambria Math" w:hAnsi="Cambria Math"/>
                <w:i/>
              </w:rPr>
            </m:ctrlPr>
          </m:sSubPr>
          <m:e>
            <m:r>
              <w:rPr>
                <w:rFonts w:ascii="Cambria Math" w:hAnsi="Cambria Math"/>
              </w:rPr>
              <m:t>Agricultural Labourers</m:t>
            </m:r>
          </m:e>
          <m:sub>
            <m:r>
              <w:rPr>
                <w:rFonts w:ascii="Cambria Math" w:hAnsi="Cambria Math"/>
              </w:rPr>
              <m:t>Main</m:t>
            </m:r>
          </m:sub>
        </m:sSub>
      </m:oMath>
    </w:p>
    <w:p w14:paraId="7ED49795" w14:textId="3ECDFE87" w:rsidR="00304FFB" w:rsidRDefault="00304FFB" w:rsidP="0067793C">
      <w:pPr>
        <w:jc w:val="left"/>
      </w:pPr>
      <w:r>
        <w:t xml:space="preserve">[2] </w:t>
      </w:r>
      <m:oMath>
        <m:sSub>
          <m:sSubPr>
            <m:ctrlPr>
              <w:rPr>
                <w:rFonts w:ascii="Cambria Math" w:hAnsi="Cambria Math"/>
                <w:i/>
              </w:rPr>
            </m:ctrlPr>
          </m:sSubPr>
          <m:e>
            <m:r>
              <w:rPr>
                <w:rFonts w:ascii="Cambria Math" w:hAnsi="Cambria Math"/>
              </w:rPr>
              <m:t>ADP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Total Primary Sector</m:t>
            </m:r>
          </m:e>
          <m:sub>
            <m:r>
              <w:rPr>
                <w:rFonts w:ascii="Cambria Math" w:hAnsi="Cambria Math"/>
              </w:rPr>
              <m:t>Main</m:t>
            </m:r>
          </m:sub>
        </m:sSub>
      </m:oMath>
    </w:p>
    <w:p w14:paraId="4803A22D" w14:textId="3F23F79B" w:rsidR="00304FFB" w:rsidRDefault="00304FFB" w:rsidP="0067793C">
      <w:pPr>
        <w:jc w:val="left"/>
      </w:pPr>
      <w:r>
        <w:t xml:space="preserve">[3] </w:t>
      </w:r>
      <m:oMath>
        <m:sSub>
          <m:sSubPr>
            <m:ctrlPr>
              <w:rPr>
                <w:rFonts w:ascii="Cambria Math" w:hAnsi="Cambria Math"/>
                <w:i/>
              </w:rPr>
            </m:ctrlPr>
          </m:sSubPr>
          <m:e>
            <m:r>
              <w:rPr>
                <w:rFonts w:ascii="Cambria Math" w:hAnsi="Cambria Math"/>
              </w:rPr>
              <m:t>ADP</m:t>
            </m:r>
          </m:e>
          <m:sub>
            <m:r>
              <w:rPr>
                <w:rFonts w:ascii="Cambria Math" w:hAnsi="Cambria Math"/>
              </w:rPr>
              <m:t>C</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Cultivators</m:t>
            </m:r>
          </m:e>
          <m:sub>
            <m:r>
              <w:rPr>
                <w:rFonts w:ascii="Cambria Math" w:hAnsi="Cambria Math"/>
              </w:rPr>
              <m:t>(Main+Marginal)</m:t>
            </m:r>
          </m:sub>
        </m:sSub>
        <m:r>
          <w:rPr>
            <w:rFonts w:ascii="Cambria Math" w:hAnsi="Cambria Math"/>
          </w:rPr>
          <m:t>+</m:t>
        </m:r>
        <m:sSub>
          <m:sSubPr>
            <m:ctrlPr>
              <w:rPr>
                <w:rFonts w:ascii="Cambria Math" w:hAnsi="Cambria Math"/>
                <w:i/>
              </w:rPr>
            </m:ctrlPr>
          </m:sSubPr>
          <m:e>
            <m:r>
              <w:rPr>
                <w:rFonts w:ascii="Cambria Math" w:hAnsi="Cambria Math"/>
              </w:rPr>
              <m:t>Agricultural Labourers</m:t>
            </m:r>
          </m:e>
          <m:sub>
            <m:r>
              <w:rPr>
                <w:rFonts w:ascii="Cambria Math" w:hAnsi="Cambria Math"/>
              </w:rPr>
              <m:t>(Main+Marginal)</m:t>
            </m:r>
          </m:sub>
        </m:sSub>
      </m:oMath>
    </w:p>
    <w:p w14:paraId="081379E8" w14:textId="77777777" w:rsidR="0067793C" w:rsidRDefault="00304FFB" w:rsidP="0067793C">
      <w:pPr>
        <w:jc w:val="left"/>
      </w:pPr>
      <w:r>
        <w:t xml:space="preserve">[4] </w:t>
      </w:r>
      <m:oMath>
        <m:sSub>
          <m:sSubPr>
            <m:ctrlPr>
              <w:rPr>
                <w:rFonts w:ascii="Cambria Math" w:hAnsi="Cambria Math"/>
                <w:i/>
              </w:rPr>
            </m:ctrlPr>
          </m:sSubPr>
          <m:e>
            <m:r>
              <w:rPr>
                <w:rFonts w:ascii="Cambria Math" w:hAnsi="Cambria Math"/>
              </w:rPr>
              <m:t>ADP</m:t>
            </m:r>
          </m:e>
          <m:sub>
            <m:r>
              <w:rPr>
                <w:rFonts w:ascii="Cambria Math" w:hAnsi="Cambria Math"/>
              </w:rPr>
              <m:t>C4</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Total Primary Sector</m:t>
            </m:r>
          </m:e>
          <m:sub>
            <m:r>
              <w:rPr>
                <w:rFonts w:ascii="Cambria Math" w:hAnsi="Cambria Math"/>
              </w:rPr>
              <m:t>(Main+Marginal)</m:t>
            </m:r>
          </m:sub>
        </m:sSub>
      </m:oMath>
    </w:p>
    <w:p w14:paraId="5099D5C7" w14:textId="785E3DAD" w:rsidR="009225AB" w:rsidRDefault="0067793C" w:rsidP="0067793C">
      <w:pPr>
        <w:jc w:val="left"/>
      </w:pPr>
      <w:r>
        <w:t xml:space="preserve">[5] </w:t>
      </w:r>
      <m:oMath>
        <m:sSub>
          <m:sSubPr>
            <m:ctrlPr>
              <w:rPr>
                <w:rFonts w:ascii="Cambria Math" w:hAnsi="Cambria Math"/>
                <w:i/>
              </w:rPr>
            </m:ctrlPr>
          </m:sSubPr>
          <m:e>
            <m:r>
              <w:rPr>
                <w:rFonts w:ascii="Cambria Math" w:hAnsi="Cambria Math"/>
              </w:rPr>
              <m:t>ADP</m:t>
            </m:r>
          </m:e>
          <m:sub>
            <m:r>
              <w:rPr>
                <w:rFonts w:ascii="Cambria Math" w:hAnsi="Cambria Math"/>
              </w:rPr>
              <m:t>C4</m:t>
            </m:r>
          </m:sub>
        </m:sSub>
        <m:r>
          <w:rPr>
            <w:rFonts w:ascii="Cambria Math" w:hAnsi="Cambria Math"/>
          </w:rPr>
          <m:t xml:space="preserve">= </m:t>
        </m:r>
        <m:sSub>
          <m:sSubPr>
            <m:ctrlPr>
              <w:rPr>
                <w:rFonts w:ascii="Cambria Math" w:hAnsi="Cambria Math"/>
                <w:i/>
              </w:rPr>
            </m:ctrlPr>
          </m:sSubPr>
          <m:e>
            <m:r>
              <w:rPr>
                <w:rFonts w:ascii="Cambria Math" w:hAnsi="Cambria Math"/>
              </w:rPr>
              <m:t>ADP</m:t>
            </m:r>
          </m:e>
          <m:sub>
            <m:r>
              <w:rPr>
                <w:rFonts w:ascii="Cambria Math" w:hAnsi="Cambria Math"/>
              </w:rPr>
              <m:t>C3</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Total Population</m:t>
                </m:r>
              </m:num>
              <m:den>
                <m:r>
                  <w:rPr>
                    <w:rFonts w:ascii="Cambria Math" w:hAnsi="Cambria Math"/>
                  </w:rPr>
                  <m:t>Total Workers</m:t>
                </m:r>
              </m:den>
            </m:f>
          </m:e>
        </m:d>
      </m:oMath>
      <w:r w:rsidR="009225AB">
        <w:br w:type="page"/>
      </w:r>
    </w:p>
    <w:p w14:paraId="49F47D73" w14:textId="7ECFB741" w:rsidR="00424424" w:rsidRDefault="009225AB" w:rsidP="009225AB">
      <w:pPr>
        <w:pStyle w:val="Heading2"/>
      </w:pPr>
      <w:r>
        <w:lastRenderedPageBreak/>
        <w:t>References</w:t>
      </w:r>
    </w:p>
    <w:p w14:paraId="0179E3D2" w14:textId="77777777" w:rsidR="006639D8" w:rsidRPr="006639D8" w:rsidRDefault="009225AB" w:rsidP="006639D8">
      <w:pPr>
        <w:pStyle w:val="Bibliography"/>
        <w:rPr>
          <w:rFonts w:ascii="Arial" w:hAnsi="Arial" w:cs="Arial"/>
        </w:rPr>
      </w:pPr>
      <w:r>
        <w:fldChar w:fldCharType="begin"/>
      </w:r>
      <w:r w:rsidR="00280F25">
        <w:instrText xml:space="preserve"> ADDIN ZOTERO_BIBL {"uncited":[],"omitted":[],"custom":[]} CSL_BIBLIOGRAPHY </w:instrText>
      </w:r>
      <w:r>
        <w:fldChar w:fldCharType="separate"/>
      </w:r>
      <w:r w:rsidR="006639D8" w:rsidRPr="006639D8">
        <w:rPr>
          <w:rFonts w:ascii="Arial" w:hAnsi="Arial" w:cs="Arial"/>
        </w:rPr>
        <w:t xml:space="preserve">Anand, S., Kakumanu, K.R. and Amarasinghe, U.A. (2019) ‘Use of Remote Sensing and GIS for Identifying Tanks and Rehabilitation Benefits to the Rural Areas’, </w:t>
      </w:r>
      <w:r w:rsidR="006639D8" w:rsidRPr="006639D8">
        <w:rPr>
          <w:rFonts w:ascii="Arial" w:hAnsi="Arial" w:cs="Arial"/>
          <w:i/>
          <w:iCs/>
        </w:rPr>
        <w:t>Journal of Rural Development</w:t>
      </w:r>
      <w:r w:rsidR="006639D8" w:rsidRPr="006639D8">
        <w:rPr>
          <w:rFonts w:ascii="Arial" w:hAnsi="Arial" w:cs="Arial"/>
        </w:rPr>
        <w:t>, 38(1), p. 55. Available at: https://doi.org/10.25175/jrd/2019/v38/i1/121801.</w:t>
      </w:r>
    </w:p>
    <w:p w14:paraId="3C25AC0E" w14:textId="77777777" w:rsidR="006639D8" w:rsidRPr="006639D8" w:rsidRDefault="006639D8" w:rsidP="006639D8">
      <w:pPr>
        <w:pStyle w:val="Bibliography"/>
        <w:rPr>
          <w:rFonts w:ascii="Arial" w:hAnsi="Arial" w:cs="Arial"/>
        </w:rPr>
      </w:pPr>
      <w:r w:rsidRPr="006639D8">
        <w:rPr>
          <w:rFonts w:ascii="Arial" w:hAnsi="Arial" w:cs="Arial"/>
        </w:rPr>
        <w:t xml:space="preserve">Balk, D. </w:t>
      </w:r>
      <w:r w:rsidRPr="006639D8">
        <w:rPr>
          <w:rFonts w:ascii="Arial" w:hAnsi="Arial" w:cs="Arial"/>
          <w:i/>
          <w:iCs/>
        </w:rPr>
        <w:t>et al.</w:t>
      </w:r>
      <w:r w:rsidRPr="006639D8">
        <w:rPr>
          <w:rFonts w:ascii="Arial" w:hAnsi="Arial" w:cs="Arial"/>
        </w:rPr>
        <w:t xml:space="preserve"> (2019) ‘Urbanization in India: Population and Urban Classification Grids for 2011’, </w:t>
      </w:r>
      <w:r w:rsidRPr="006639D8">
        <w:rPr>
          <w:rFonts w:ascii="Arial" w:hAnsi="Arial" w:cs="Arial"/>
          <w:i/>
          <w:iCs/>
        </w:rPr>
        <w:t>Data</w:t>
      </w:r>
      <w:r w:rsidRPr="006639D8">
        <w:rPr>
          <w:rFonts w:ascii="Arial" w:hAnsi="Arial" w:cs="Arial"/>
        </w:rPr>
        <w:t>, 4(1), p. 35. Available at: https://doi.org/10.3390/data4010035.</w:t>
      </w:r>
    </w:p>
    <w:p w14:paraId="0C467AD8" w14:textId="77777777" w:rsidR="006639D8" w:rsidRPr="006639D8" w:rsidRDefault="006639D8" w:rsidP="006639D8">
      <w:pPr>
        <w:pStyle w:val="Bibliography"/>
        <w:rPr>
          <w:rFonts w:ascii="Arial" w:hAnsi="Arial" w:cs="Arial"/>
        </w:rPr>
      </w:pPr>
      <w:r w:rsidRPr="006639D8">
        <w:rPr>
          <w:rFonts w:ascii="Arial" w:hAnsi="Arial" w:cs="Arial"/>
        </w:rPr>
        <w:t xml:space="preserve">Brown, C.F. </w:t>
      </w:r>
      <w:r w:rsidRPr="006639D8">
        <w:rPr>
          <w:rFonts w:ascii="Arial" w:hAnsi="Arial" w:cs="Arial"/>
          <w:i/>
          <w:iCs/>
        </w:rPr>
        <w:t>et al.</w:t>
      </w:r>
      <w:r w:rsidRPr="006639D8">
        <w:rPr>
          <w:rFonts w:ascii="Arial" w:hAnsi="Arial" w:cs="Arial"/>
        </w:rPr>
        <w:t xml:space="preserve"> (2022) ‘Dynamic World, Near real-time global 10 m land use land cover mapping’, </w:t>
      </w:r>
      <w:r w:rsidRPr="006639D8">
        <w:rPr>
          <w:rFonts w:ascii="Arial" w:hAnsi="Arial" w:cs="Arial"/>
          <w:i/>
          <w:iCs/>
        </w:rPr>
        <w:t>Scientific Data</w:t>
      </w:r>
      <w:r w:rsidRPr="006639D8">
        <w:rPr>
          <w:rFonts w:ascii="Arial" w:hAnsi="Arial" w:cs="Arial"/>
        </w:rPr>
        <w:t>, 9(1), p. 251. Available at: https://doi.org/10.1038/s41597-022-01307-4.</w:t>
      </w:r>
    </w:p>
    <w:p w14:paraId="06E362AD" w14:textId="77777777" w:rsidR="006639D8" w:rsidRPr="006639D8" w:rsidRDefault="006639D8" w:rsidP="006639D8">
      <w:pPr>
        <w:pStyle w:val="Bibliography"/>
        <w:rPr>
          <w:rFonts w:ascii="Arial" w:hAnsi="Arial" w:cs="Arial"/>
        </w:rPr>
      </w:pPr>
      <w:r w:rsidRPr="006639D8">
        <w:rPr>
          <w:rFonts w:ascii="Arial" w:hAnsi="Arial" w:cs="Arial"/>
        </w:rPr>
        <w:t>Census of India (2011) ‘B-04 Main Workers classified by Age, Industrial Category, and Sex’. Available at: https://censusindia.gov.in/census.website/data/census-tables (Accessed: 30 May 2023).</w:t>
      </w:r>
    </w:p>
    <w:p w14:paraId="5C4D2EC8" w14:textId="77777777" w:rsidR="006639D8" w:rsidRPr="006639D8" w:rsidRDefault="006639D8" w:rsidP="006639D8">
      <w:pPr>
        <w:pStyle w:val="Bibliography"/>
        <w:rPr>
          <w:rFonts w:ascii="Arial" w:hAnsi="Arial" w:cs="Arial"/>
        </w:rPr>
      </w:pPr>
      <w:r w:rsidRPr="006639D8">
        <w:rPr>
          <w:rFonts w:ascii="Arial" w:hAnsi="Arial" w:cs="Arial"/>
        </w:rPr>
        <w:t xml:space="preserve">Deichmann, U. (1996) </w:t>
      </w:r>
      <w:r w:rsidRPr="006639D8">
        <w:rPr>
          <w:rFonts w:ascii="Arial" w:hAnsi="Arial" w:cs="Arial"/>
          <w:i/>
          <w:iCs/>
        </w:rPr>
        <w:t xml:space="preserve">A Review of Spatial Population Database Design and </w:t>
      </w:r>
      <w:proofErr w:type="spellStart"/>
      <w:r w:rsidRPr="006639D8">
        <w:rPr>
          <w:rFonts w:ascii="Arial" w:hAnsi="Arial" w:cs="Arial"/>
          <w:i/>
          <w:iCs/>
        </w:rPr>
        <w:t>Modeling</w:t>
      </w:r>
      <w:proofErr w:type="spellEnd"/>
      <w:r w:rsidRPr="006639D8">
        <w:rPr>
          <w:rFonts w:ascii="Arial" w:hAnsi="Arial" w:cs="Arial"/>
        </w:rPr>
        <w:t>. Santa Barbara, CA: National Centre for Geographic Information and Analysis. Available at: https://escholarship.org/uc/item/6g190671 (Accessed: 28 February 2023).</w:t>
      </w:r>
    </w:p>
    <w:p w14:paraId="1808A7BE" w14:textId="77777777" w:rsidR="006639D8" w:rsidRPr="006639D8" w:rsidRDefault="006639D8" w:rsidP="006639D8">
      <w:pPr>
        <w:pStyle w:val="Bibliography"/>
        <w:rPr>
          <w:rFonts w:ascii="Arial" w:hAnsi="Arial" w:cs="Arial"/>
        </w:rPr>
      </w:pPr>
      <w:r w:rsidRPr="006639D8">
        <w:rPr>
          <w:rFonts w:ascii="Arial" w:hAnsi="Arial" w:cs="Arial"/>
        </w:rPr>
        <w:t xml:space="preserve">Dixon, R.B. (1982) ‘Women in Agriculture: Counting the Labor Force in Developing Countries’, </w:t>
      </w:r>
      <w:r w:rsidRPr="006639D8">
        <w:rPr>
          <w:rFonts w:ascii="Arial" w:hAnsi="Arial" w:cs="Arial"/>
          <w:i/>
          <w:iCs/>
        </w:rPr>
        <w:t>Population and Development Review</w:t>
      </w:r>
      <w:r w:rsidRPr="006639D8">
        <w:rPr>
          <w:rFonts w:ascii="Arial" w:hAnsi="Arial" w:cs="Arial"/>
        </w:rPr>
        <w:t>, 8(3), pp. 539–566. Available at: https://doi.org/10.2307/1972379.</w:t>
      </w:r>
    </w:p>
    <w:p w14:paraId="1F17EBE2" w14:textId="77777777" w:rsidR="006639D8" w:rsidRPr="006639D8" w:rsidRDefault="006639D8" w:rsidP="006639D8">
      <w:pPr>
        <w:pStyle w:val="Bibliography"/>
        <w:rPr>
          <w:rFonts w:ascii="Arial" w:hAnsi="Arial" w:cs="Arial"/>
        </w:rPr>
      </w:pPr>
      <w:r w:rsidRPr="006639D8">
        <w:rPr>
          <w:rFonts w:ascii="Arial" w:hAnsi="Arial" w:cs="Arial"/>
        </w:rPr>
        <w:t xml:space="preserve">Eicher, C.L. and Brewer, C.A. (2001) ‘Dasymetric Mapping and Areal Interpolation: Implementation and Evaluation’, </w:t>
      </w:r>
      <w:r w:rsidRPr="006639D8">
        <w:rPr>
          <w:rFonts w:ascii="Arial" w:hAnsi="Arial" w:cs="Arial"/>
          <w:i/>
          <w:iCs/>
        </w:rPr>
        <w:t>Cartography and Geographic Information Science</w:t>
      </w:r>
      <w:r w:rsidRPr="006639D8">
        <w:rPr>
          <w:rFonts w:ascii="Arial" w:hAnsi="Arial" w:cs="Arial"/>
        </w:rPr>
        <w:t>, 28(2), pp. 125–138. Available at: https://doi.org/10.1559/152304001782173727.</w:t>
      </w:r>
    </w:p>
    <w:p w14:paraId="73C0F7FE" w14:textId="77777777" w:rsidR="006639D8" w:rsidRPr="006639D8" w:rsidRDefault="006639D8" w:rsidP="006639D8">
      <w:pPr>
        <w:pStyle w:val="Bibliography"/>
        <w:rPr>
          <w:rFonts w:ascii="Arial" w:hAnsi="Arial" w:cs="Arial"/>
        </w:rPr>
      </w:pPr>
      <w:r w:rsidRPr="006639D8">
        <w:rPr>
          <w:rFonts w:ascii="Arial" w:hAnsi="Arial" w:cs="Arial"/>
        </w:rPr>
        <w:t xml:space="preserve">Eurostat: European Commission (2021) </w:t>
      </w:r>
      <w:r w:rsidRPr="006639D8">
        <w:rPr>
          <w:rFonts w:ascii="Arial" w:hAnsi="Arial" w:cs="Arial"/>
          <w:i/>
          <w:iCs/>
        </w:rPr>
        <w:t xml:space="preserve">Applying the degree of urbanisation: a methodological manual to define cities, towns and rural areas for international </w:t>
      </w:r>
      <w:proofErr w:type="gramStart"/>
      <w:r w:rsidRPr="006639D8">
        <w:rPr>
          <w:rFonts w:ascii="Arial" w:hAnsi="Arial" w:cs="Arial"/>
          <w:i/>
          <w:iCs/>
        </w:rPr>
        <w:t>comparisons :</w:t>
      </w:r>
      <w:proofErr w:type="gramEnd"/>
      <w:r w:rsidRPr="006639D8">
        <w:rPr>
          <w:rFonts w:ascii="Arial" w:hAnsi="Arial" w:cs="Arial"/>
          <w:i/>
          <w:iCs/>
        </w:rPr>
        <w:t xml:space="preserve"> 2021 edition</w:t>
      </w:r>
      <w:r w:rsidRPr="006639D8">
        <w:rPr>
          <w:rFonts w:ascii="Arial" w:hAnsi="Arial" w:cs="Arial"/>
        </w:rPr>
        <w:t>. LU: Publications Office of the European Union. Available at: https://data.europa.eu/doi/10.2785/706535 (Accessed: 4 August 2023).</w:t>
      </w:r>
    </w:p>
    <w:p w14:paraId="4CF6C2A2" w14:textId="77777777" w:rsidR="006639D8" w:rsidRPr="006639D8" w:rsidRDefault="006639D8" w:rsidP="006639D8">
      <w:pPr>
        <w:pStyle w:val="Bibliography"/>
        <w:rPr>
          <w:rFonts w:ascii="Arial" w:hAnsi="Arial" w:cs="Arial"/>
        </w:rPr>
      </w:pPr>
      <w:r w:rsidRPr="006639D8">
        <w:rPr>
          <w:rFonts w:ascii="Arial" w:hAnsi="Arial" w:cs="Arial"/>
        </w:rPr>
        <w:t xml:space="preserve">FAO (2023) </w:t>
      </w:r>
      <w:r w:rsidRPr="006639D8">
        <w:rPr>
          <w:rFonts w:ascii="Arial" w:hAnsi="Arial" w:cs="Arial"/>
          <w:i/>
          <w:iCs/>
        </w:rPr>
        <w:t>Food and Agriculture Organization of the United Nations (FAO) in India</w:t>
      </w:r>
      <w:r w:rsidRPr="006639D8">
        <w:rPr>
          <w:rFonts w:ascii="Arial" w:hAnsi="Arial" w:cs="Arial"/>
        </w:rPr>
        <w:t>. Available at: https://www.fao.org/india/fao-in-india/india-at-a-glance/en/ (Accessed: 6 June 2023).</w:t>
      </w:r>
    </w:p>
    <w:p w14:paraId="3195A854" w14:textId="77777777" w:rsidR="006639D8" w:rsidRPr="006639D8" w:rsidRDefault="006639D8" w:rsidP="006639D8">
      <w:pPr>
        <w:pStyle w:val="Bibliography"/>
        <w:rPr>
          <w:rFonts w:ascii="Arial" w:hAnsi="Arial" w:cs="Arial"/>
        </w:rPr>
      </w:pPr>
      <w:r w:rsidRPr="006639D8">
        <w:rPr>
          <w:rFonts w:ascii="Arial" w:hAnsi="Arial" w:cs="Arial"/>
        </w:rPr>
        <w:t xml:space="preserve">Government of India (2012) </w:t>
      </w:r>
      <w:r w:rsidRPr="006639D8">
        <w:rPr>
          <w:rFonts w:ascii="Arial" w:hAnsi="Arial" w:cs="Arial"/>
          <w:i/>
          <w:iCs/>
        </w:rPr>
        <w:t>Census of India 2011: Administrative Atlas</w:t>
      </w:r>
      <w:r w:rsidRPr="006639D8">
        <w:rPr>
          <w:rFonts w:ascii="Arial" w:hAnsi="Arial" w:cs="Arial"/>
        </w:rPr>
        <w:t>. Delhi, India: Office of the Registrar General and Census Commissioner. Available at: https://censusindia.gov.in/census.website/data/atlas# (Accessed: 1 June 2023).</w:t>
      </w:r>
    </w:p>
    <w:p w14:paraId="5567726F" w14:textId="77777777" w:rsidR="006639D8" w:rsidRPr="006639D8" w:rsidRDefault="006639D8" w:rsidP="006639D8">
      <w:pPr>
        <w:pStyle w:val="Bibliography"/>
        <w:rPr>
          <w:rFonts w:ascii="Arial" w:hAnsi="Arial" w:cs="Arial"/>
        </w:rPr>
      </w:pPr>
      <w:r w:rsidRPr="006639D8">
        <w:rPr>
          <w:rFonts w:ascii="Arial" w:hAnsi="Arial" w:cs="Arial"/>
        </w:rPr>
        <w:t xml:space="preserve">Kondylis, F. </w:t>
      </w:r>
      <w:r w:rsidRPr="006639D8">
        <w:rPr>
          <w:rFonts w:ascii="Arial" w:hAnsi="Arial" w:cs="Arial"/>
          <w:i/>
          <w:iCs/>
        </w:rPr>
        <w:t>et al.</w:t>
      </w:r>
      <w:r w:rsidRPr="006639D8">
        <w:rPr>
          <w:rFonts w:ascii="Arial" w:hAnsi="Arial" w:cs="Arial"/>
        </w:rPr>
        <w:t xml:space="preserve"> (2023) </w:t>
      </w:r>
      <w:r w:rsidRPr="006639D8">
        <w:rPr>
          <w:rFonts w:ascii="Arial" w:hAnsi="Arial" w:cs="Arial"/>
          <w:i/>
          <w:iCs/>
        </w:rPr>
        <w:t>Agriculture</w:t>
      </w:r>
      <w:r w:rsidRPr="006639D8">
        <w:rPr>
          <w:rFonts w:ascii="Arial" w:hAnsi="Arial" w:cs="Arial"/>
        </w:rPr>
        <w:t xml:space="preserve">, </w:t>
      </w:r>
      <w:r w:rsidRPr="006639D8">
        <w:rPr>
          <w:rFonts w:ascii="Arial" w:hAnsi="Arial" w:cs="Arial"/>
          <w:i/>
          <w:iCs/>
        </w:rPr>
        <w:t>World Bank: Development Impact Evaluation (DIME)</w:t>
      </w:r>
      <w:r w:rsidRPr="006639D8">
        <w:rPr>
          <w:rFonts w:ascii="Arial" w:hAnsi="Arial" w:cs="Arial"/>
        </w:rPr>
        <w:t>. Available at: https://www.worldbank.org/en/research/dime/brief/agriculture (Accessed: 1 June 2023).</w:t>
      </w:r>
    </w:p>
    <w:p w14:paraId="7C9DF6F2" w14:textId="77777777" w:rsidR="006639D8" w:rsidRPr="006639D8" w:rsidRDefault="006639D8" w:rsidP="006639D8">
      <w:pPr>
        <w:pStyle w:val="Bibliography"/>
        <w:rPr>
          <w:rFonts w:ascii="Arial" w:hAnsi="Arial" w:cs="Arial"/>
        </w:rPr>
      </w:pPr>
      <w:r w:rsidRPr="006639D8">
        <w:rPr>
          <w:rFonts w:ascii="Arial" w:hAnsi="Arial" w:cs="Arial"/>
        </w:rPr>
        <w:t xml:space="preserve">Leyk, S. </w:t>
      </w:r>
      <w:r w:rsidRPr="006639D8">
        <w:rPr>
          <w:rFonts w:ascii="Arial" w:hAnsi="Arial" w:cs="Arial"/>
          <w:i/>
          <w:iCs/>
        </w:rPr>
        <w:t>et al.</w:t>
      </w:r>
      <w:r w:rsidRPr="006639D8">
        <w:rPr>
          <w:rFonts w:ascii="Arial" w:hAnsi="Arial" w:cs="Arial"/>
        </w:rPr>
        <w:t xml:space="preserve"> (2019) ‘The spatial allocation of population: a review of large-scale gridded population data products and their fitness for use’, </w:t>
      </w:r>
      <w:r w:rsidRPr="006639D8">
        <w:rPr>
          <w:rFonts w:ascii="Arial" w:hAnsi="Arial" w:cs="Arial"/>
          <w:i/>
          <w:iCs/>
        </w:rPr>
        <w:t>Earth System Science Data</w:t>
      </w:r>
      <w:r w:rsidRPr="006639D8">
        <w:rPr>
          <w:rFonts w:ascii="Arial" w:hAnsi="Arial" w:cs="Arial"/>
        </w:rPr>
        <w:t>, 11(3), pp. 1385–1409. Available at: https://doi.org/10.5194/essd-11-1385-2019.</w:t>
      </w:r>
    </w:p>
    <w:p w14:paraId="53178DF6" w14:textId="77777777" w:rsidR="006639D8" w:rsidRPr="006639D8" w:rsidRDefault="006639D8" w:rsidP="006639D8">
      <w:pPr>
        <w:pStyle w:val="Bibliography"/>
        <w:rPr>
          <w:rFonts w:ascii="Arial" w:hAnsi="Arial" w:cs="Arial"/>
        </w:rPr>
      </w:pPr>
      <w:r w:rsidRPr="006639D8">
        <w:rPr>
          <w:rFonts w:ascii="Arial" w:hAnsi="Arial" w:cs="Arial"/>
        </w:rPr>
        <w:t xml:space="preserve">Malone, B.P. </w:t>
      </w:r>
      <w:r w:rsidRPr="006639D8">
        <w:rPr>
          <w:rFonts w:ascii="Arial" w:hAnsi="Arial" w:cs="Arial"/>
          <w:i/>
          <w:iCs/>
        </w:rPr>
        <w:t>et al.</w:t>
      </w:r>
      <w:r w:rsidRPr="006639D8">
        <w:rPr>
          <w:rFonts w:ascii="Arial" w:hAnsi="Arial" w:cs="Arial"/>
        </w:rPr>
        <w:t xml:space="preserve"> (2012) ‘A general method for downscaling earth resource information’, </w:t>
      </w:r>
      <w:r w:rsidRPr="006639D8">
        <w:rPr>
          <w:rFonts w:ascii="Arial" w:hAnsi="Arial" w:cs="Arial"/>
          <w:i/>
          <w:iCs/>
        </w:rPr>
        <w:t>Computers &amp; Geosciences</w:t>
      </w:r>
      <w:r w:rsidRPr="006639D8">
        <w:rPr>
          <w:rFonts w:ascii="Arial" w:hAnsi="Arial" w:cs="Arial"/>
        </w:rPr>
        <w:t>, 41, pp. 119–125. Available at: https://doi.org/10.1016/j.cageo.2011.08.021.</w:t>
      </w:r>
    </w:p>
    <w:p w14:paraId="49ADED82" w14:textId="77777777" w:rsidR="006639D8" w:rsidRPr="006639D8" w:rsidRDefault="006639D8" w:rsidP="006639D8">
      <w:pPr>
        <w:pStyle w:val="Bibliography"/>
        <w:rPr>
          <w:rFonts w:ascii="Arial" w:hAnsi="Arial" w:cs="Arial"/>
        </w:rPr>
      </w:pPr>
      <w:r w:rsidRPr="006639D8">
        <w:rPr>
          <w:rFonts w:ascii="Arial" w:hAnsi="Arial" w:cs="Arial"/>
        </w:rPr>
        <w:lastRenderedPageBreak/>
        <w:t xml:space="preserve">Meiyappan, P. </w:t>
      </w:r>
      <w:r w:rsidRPr="006639D8">
        <w:rPr>
          <w:rFonts w:ascii="Arial" w:hAnsi="Arial" w:cs="Arial"/>
          <w:i/>
          <w:iCs/>
        </w:rPr>
        <w:t>et al.</w:t>
      </w:r>
      <w:r w:rsidRPr="006639D8">
        <w:rPr>
          <w:rFonts w:ascii="Arial" w:hAnsi="Arial" w:cs="Arial"/>
        </w:rPr>
        <w:t xml:space="preserve"> (2017) ‘Dynamics and determinants of land change in India: integrating satellite data with village socioeconomics’, </w:t>
      </w:r>
      <w:r w:rsidRPr="006639D8">
        <w:rPr>
          <w:rFonts w:ascii="Arial" w:hAnsi="Arial" w:cs="Arial"/>
          <w:i/>
          <w:iCs/>
        </w:rPr>
        <w:t>Regional Environmental Change</w:t>
      </w:r>
      <w:r w:rsidRPr="006639D8">
        <w:rPr>
          <w:rFonts w:ascii="Arial" w:hAnsi="Arial" w:cs="Arial"/>
        </w:rPr>
        <w:t>, 17(3), pp. 753–766. Available at: https://doi.org/10.1007/s10113-016-1068-2.</w:t>
      </w:r>
    </w:p>
    <w:p w14:paraId="307D7795" w14:textId="77777777" w:rsidR="006639D8" w:rsidRPr="006639D8" w:rsidRDefault="006639D8" w:rsidP="006639D8">
      <w:pPr>
        <w:pStyle w:val="Bibliography"/>
        <w:rPr>
          <w:rFonts w:ascii="Arial" w:hAnsi="Arial" w:cs="Arial"/>
        </w:rPr>
      </w:pPr>
      <w:proofErr w:type="spellStart"/>
      <w:r w:rsidRPr="006639D8">
        <w:rPr>
          <w:rFonts w:ascii="Arial" w:hAnsi="Arial" w:cs="Arial"/>
        </w:rPr>
        <w:t>Mialhe</w:t>
      </w:r>
      <w:proofErr w:type="spellEnd"/>
      <w:r w:rsidRPr="006639D8">
        <w:rPr>
          <w:rFonts w:ascii="Arial" w:hAnsi="Arial" w:cs="Arial"/>
        </w:rPr>
        <w:t xml:space="preserve">, F., Gunnell, Y. and Mering, C. (2008) ‘Synoptic assessment of water resource variability in reservoirs by remote sensing: General approach and application to the runoff harvesting systems of south India’, </w:t>
      </w:r>
      <w:r w:rsidRPr="006639D8">
        <w:rPr>
          <w:rFonts w:ascii="Arial" w:hAnsi="Arial" w:cs="Arial"/>
          <w:i/>
          <w:iCs/>
        </w:rPr>
        <w:t>Water Resources Research</w:t>
      </w:r>
      <w:r w:rsidRPr="006639D8">
        <w:rPr>
          <w:rFonts w:ascii="Arial" w:hAnsi="Arial" w:cs="Arial"/>
        </w:rPr>
        <w:t>, 44(5). Available at: https://doi.org/10.1029/2007WR006065.</w:t>
      </w:r>
    </w:p>
    <w:p w14:paraId="5861636C" w14:textId="77777777" w:rsidR="006639D8" w:rsidRPr="006639D8" w:rsidRDefault="006639D8" w:rsidP="006639D8">
      <w:pPr>
        <w:pStyle w:val="Bibliography"/>
        <w:rPr>
          <w:rFonts w:ascii="Arial" w:hAnsi="Arial" w:cs="Arial"/>
        </w:rPr>
      </w:pPr>
      <w:r w:rsidRPr="006639D8">
        <w:rPr>
          <w:rFonts w:ascii="Arial" w:hAnsi="Arial" w:cs="Arial"/>
        </w:rPr>
        <w:t xml:space="preserve">Monteiro, J., Martins, B. and Pires, J.M. (2018) ‘A hybrid approach for the spatial disaggregation of socio-economic indicators’, </w:t>
      </w:r>
      <w:r w:rsidRPr="006639D8">
        <w:rPr>
          <w:rFonts w:ascii="Arial" w:hAnsi="Arial" w:cs="Arial"/>
          <w:i/>
          <w:iCs/>
        </w:rPr>
        <w:t>International Journal of Data Science and Analytics</w:t>
      </w:r>
      <w:r w:rsidRPr="006639D8">
        <w:rPr>
          <w:rFonts w:ascii="Arial" w:hAnsi="Arial" w:cs="Arial"/>
        </w:rPr>
        <w:t>, 5(2), pp. 189–211. Available at: https://doi.org/10.1007/s41060-017-0080-z.</w:t>
      </w:r>
    </w:p>
    <w:p w14:paraId="2B300D56" w14:textId="77777777" w:rsidR="006639D8" w:rsidRPr="006639D8" w:rsidRDefault="006639D8" w:rsidP="006639D8">
      <w:pPr>
        <w:pStyle w:val="Bibliography"/>
        <w:rPr>
          <w:rFonts w:ascii="Arial" w:hAnsi="Arial" w:cs="Arial"/>
        </w:rPr>
      </w:pPr>
      <w:proofErr w:type="spellStart"/>
      <w:r w:rsidRPr="006639D8">
        <w:rPr>
          <w:rFonts w:ascii="Arial" w:hAnsi="Arial" w:cs="Arial"/>
        </w:rPr>
        <w:t>Pattnaik</w:t>
      </w:r>
      <w:proofErr w:type="spellEnd"/>
      <w:r w:rsidRPr="006639D8">
        <w:rPr>
          <w:rFonts w:ascii="Arial" w:hAnsi="Arial" w:cs="Arial"/>
        </w:rPr>
        <w:t xml:space="preserve">, I. </w:t>
      </w:r>
      <w:r w:rsidRPr="006639D8">
        <w:rPr>
          <w:rFonts w:ascii="Arial" w:hAnsi="Arial" w:cs="Arial"/>
          <w:i/>
          <w:iCs/>
        </w:rPr>
        <w:t>et al.</w:t>
      </w:r>
      <w:r w:rsidRPr="006639D8">
        <w:rPr>
          <w:rFonts w:ascii="Arial" w:hAnsi="Arial" w:cs="Arial"/>
        </w:rPr>
        <w:t xml:space="preserve"> (2018) ‘The feminization of agriculture or the feminization of agrarian distress? Tracking the trajectory of women in agriculture in India’, </w:t>
      </w:r>
      <w:r w:rsidRPr="006639D8">
        <w:rPr>
          <w:rFonts w:ascii="Arial" w:hAnsi="Arial" w:cs="Arial"/>
          <w:i/>
          <w:iCs/>
        </w:rPr>
        <w:t>Journal of the Asia Pacific Economy</w:t>
      </w:r>
      <w:r w:rsidRPr="006639D8">
        <w:rPr>
          <w:rFonts w:ascii="Arial" w:hAnsi="Arial" w:cs="Arial"/>
        </w:rPr>
        <w:t>, 23(1), pp. 138–155. Available at: https://doi.org/10.1080/13547860.2017.1394569.</w:t>
      </w:r>
    </w:p>
    <w:p w14:paraId="6D7C73AE" w14:textId="77777777" w:rsidR="006639D8" w:rsidRPr="006639D8" w:rsidRDefault="006639D8" w:rsidP="006639D8">
      <w:pPr>
        <w:pStyle w:val="Bibliography"/>
        <w:rPr>
          <w:rFonts w:ascii="Arial" w:hAnsi="Arial" w:cs="Arial"/>
        </w:rPr>
      </w:pPr>
      <w:r w:rsidRPr="006639D8">
        <w:rPr>
          <w:rFonts w:ascii="Arial" w:hAnsi="Arial" w:cs="Arial"/>
        </w:rPr>
        <w:t xml:space="preserve">Pezzulo, C. </w:t>
      </w:r>
      <w:r w:rsidRPr="006639D8">
        <w:rPr>
          <w:rFonts w:ascii="Arial" w:hAnsi="Arial" w:cs="Arial"/>
          <w:i/>
          <w:iCs/>
        </w:rPr>
        <w:t>et al.</w:t>
      </w:r>
      <w:r w:rsidRPr="006639D8">
        <w:rPr>
          <w:rFonts w:ascii="Arial" w:hAnsi="Arial" w:cs="Arial"/>
        </w:rPr>
        <w:t xml:space="preserve"> (2023) ‘A subnational reproductive, maternal, newborn, child, and adolescent health and development atlas of India’, </w:t>
      </w:r>
      <w:r w:rsidRPr="006639D8">
        <w:rPr>
          <w:rFonts w:ascii="Arial" w:hAnsi="Arial" w:cs="Arial"/>
          <w:i/>
          <w:iCs/>
        </w:rPr>
        <w:t>Scientific Data</w:t>
      </w:r>
      <w:r w:rsidRPr="006639D8">
        <w:rPr>
          <w:rFonts w:ascii="Arial" w:hAnsi="Arial" w:cs="Arial"/>
        </w:rPr>
        <w:t>, 10(1), p. 86. Available at: https://doi.org/10.1038/s41597-023-01961-2.</w:t>
      </w:r>
    </w:p>
    <w:p w14:paraId="5A6ED970" w14:textId="77777777" w:rsidR="006639D8" w:rsidRPr="006639D8" w:rsidRDefault="006639D8" w:rsidP="006639D8">
      <w:pPr>
        <w:pStyle w:val="Bibliography"/>
        <w:rPr>
          <w:rFonts w:ascii="Arial" w:hAnsi="Arial" w:cs="Arial"/>
        </w:rPr>
      </w:pPr>
      <w:r w:rsidRPr="006639D8">
        <w:rPr>
          <w:rFonts w:ascii="Arial" w:hAnsi="Arial" w:cs="Arial"/>
        </w:rPr>
        <w:t xml:space="preserve">Qiu, Y. </w:t>
      </w:r>
      <w:r w:rsidRPr="006639D8">
        <w:rPr>
          <w:rFonts w:ascii="Arial" w:hAnsi="Arial" w:cs="Arial"/>
          <w:i/>
          <w:iCs/>
        </w:rPr>
        <w:t>et al.</w:t>
      </w:r>
      <w:r w:rsidRPr="006639D8">
        <w:rPr>
          <w:rFonts w:ascii="Arial" w:hAnsi="Arial" w:cs="Arial"/>
        </w:rPr>
        <w:t xml:space="preserve"> (2022) ‘Disaggregating population data for assessing progress of SDGs: methods and applications’, </w:t>
      </w:r>
      <w:r w:rsidRPr="006639D8">
        <w:rPr>
          <w:rFonts w:ascii="Arial" w:hAnsi="Arial" w:cs="Arial"/>
          <w:i/>
          <w:iCs/>
        </w:rPr>
        <w:t>International Journal of Digital Earth</w:t>
      </w:r>
      <w:r w:rsidRPr="006639D8">
        <w:rPr>
          <w:rFonts w:ascii="Arial" w:hAnsi="Arial" w:cs="Arial"/>
        </w:rPr>
        <w:t>, 15(1), pp. 2–29. Available at: https://doi.org/10.1080/17538947.2021.2013553.</w:t>
      </w:r>
    </w:p>
    <w:p w14:paraId="69988802" w14:textId="77777777" w:rsidR="006639D8" w:rsidRPr="006639D8" w:rsidRDefault="006639D8" w:rsidP="006639D8">
      <w:pPr>
        <w:pStyle w:val="Bibliography"/>
        <w:rPr>
          <w:rFonts w:ascii="Arial" w:hAnsi="Arial" w:cs="Arial"/>
        </w:rPr>
      </w:pPr>
      <w:r w:rsidRPr="006639D8">
        <w:rPr>
          <w:rFonts w:ascii="Arial" w:hAnsi="Arial" w:cs="Arial"/>
        </w:rPr>
        <w:t xml:space="preserve">Schiavina, M., Melchiorri, M. and Pesaresi, M. (2023) ‘GHS-SMOD R2023A - GHS settlement </w:t>
      </w:r>
      <w:proofErr w:type="gramStart"/>
      <w:r w:rsidRPr="006639D8">
        <w:rPr>
          <w:rFonts w:ascii="Arial" w:hAnsi="Arial" w:cs="Arial"/>
        </w:rPr>
        <w:t>layers,  application</w:t>
      </w:r>
      <w:proofErr w:type="gramEnd"/>
      <w:r w:rsidRPr="006639D8">
        <w:rPr>
          <w:rFonts w:ascii="Arial" w:hAnsi="Arial" w:cs="Arial"/>
        </w:rPr>
        <w:t xml:space="preserve"> of the Degree of Urbanisation methodology (stage I) to GHS-POP R2023A and GHS-BUILT-S R2023A,  multitemporal (1975-2030).’ European Commission, Join Research Centre (JRC). Available at: https://doi.org/10.2905/A0DF7A6F-49DE-46EA-9BDE-563437A6E2BA.</w:t>
      </w:r>
    </w:p>
    <w:p w14:paraId="1BA6AB44" w14:textId="77777777" w:rsidR="006639D8" w:rsidRPr="006639D8" w:rsidRDefault="006639D8" w:rsidP="006639D8">
      <w:pPr>
        <w:pStyle w:val="Bibliography"/>
        <w:rPr>
          <w:rFonts w:ascii="Arial" w:hAnsi="Arial" w:cs="Arial"/>
        </w:rPr>
      </w:pPr>
      <w:r w:rsidRPr="006639D8">
        <w:rPr>
          <w:rFonts w:ascii="Arial" w:hAnsi="Arial" w:cs="Arial"/>
        </w:rPr>
        <w:t xml:space="preserve">Schneiderbauer, S. and Ehrlich, D. (2005) ‘Population Density Estimations for Disaster Management: Case Study Rural Zimbabwe’, in P. van </w:t>
      </w:r>
      <w:proofErr w:type="spellStart"/>
      <w:r w:rsidRPr="006639D8">
        <w:rPr>
          <w:rFonts w:ascii="Arial" w:hAnsi="Arial" w:cs="Arial"/>
        </w:rPr>
        <w:t>Oosterom</w:t>
      </w:r>
      <w:proofErr w:type="spellEnd"/>
      <w:r w:rsidRPr="006639D8">
        <w:rPr>
          <w:rFonts w:ascii="Arial" w:hAnsi="Arial" w:cs="Arial"/>
        </w:rPr>
        <w:t xml:space="preserve">, S. </w:t>
      </w:r>
      <w:proofErr w:type="spellStart"/>
      <w:r w:rsidRPr="006639D8">
        <w:rPr>
          <w:rFonts w:ascii="Arial" w:hAnsi="Arial" w:cs="Arial"/>
        </w:rPr>
        <w:t>Zlatanova</w:t>
      </w:r>
      <w:proofErr w:type="spellEnd"/>
      <w:r w:rsidRPr="006639D8">
        <w:rPr>
          <w:rFonts w:ascii="Arial" w:hAnsi="Arial" w:cs="Arial"/>
        </w:rPr>
        <w:t xml:space="preserve">, and E.M. Fendel (eds) </w:t>
      </w:r>
      <w:r w:rsidRPr="006639D8">
        <w:rPr>
          <w:rFonts w:ascii="Arial" w:hAnsi="Arial" w:cs="Arial"/>
          <w:i/>
          <w:iCs/>
        </w:rPr>
        <w:t>Geo-information for Disaster Management</w:t>
      </w:r>
      <w:r w:rsidRPr="006639D8">
        <w:rPr>
          <w:rFonts w:ascii="Arial" w:hAnsi="Arial" w:cs="Arial"/>
        </w:rPr>
        <w:t>. Berlin, Heidelberg: Springer, pp. 901–921. Available at: https://doi.org/10.1007/3-540-27468-5_64.</w:t>
      </w:r>
    </w:p>
    <w:p w14:paraId="640510D0" w14:textId="77777777" w:rsidR="006639D8" w:rsidRPr="006639D8" w:rsidRDefault="006639D8" w:rsidP="006639D8">
      <w:pPr>
        <w:pStyle w:val="Bibliography"/>
        <w:rPr>
          <w:rFonts w:ascii="Arial" w:hAnsi="Arial" w:cs="Arial"/>
        </w:rPr>
      </w:pPr>
      <w:proofErr w:type="spellStart"/>
      <w:r w:rsidRPr="006639D8">
        <w:rPr>
          <w:rFonts w:ascii="Arial" w:hAnsi="Arial" w:cs="Arial"/>
        </w:rPr>
        <w:t>Slavchevska</w:t>
      </w:r>
      <w:proofErr w:type="spellEnd"/>
      <w:r w:rsidRPr="006639D8">
        <w:rPr>
          <w:rFonts w:ascii="Arial" w:hAnsi="Arial" w:cs="Arial"/>
        </w:rPr>
        <w:t xml:space="preserve">, V., Kaaria, S. and </w:t>
      </w:r>
      <w:proofErr w:type="spellStart"/>
      <w:r w:rsidRPr="006639D8">
        <w:rPr>
          <w:rFonts w:ascii="Arial" w:hAnsi="Arial" w:cs="Arial"/>
        </w:rPr>
        <w:t>Taivalmaa</w:t>
      </w:r>
      <w:proofErr w:type="spellEnd"/>
      <w:r w:rsidRPr="006639D8">
        <w:rPr>
          <w:rFonts w:ascii="Arial" w:hAnsi="Arial" w:cs="Arial"/>
        </w:rPr>
        <w:t xml:space="preserve">, S.L. (2019) ‘The feminization of agriculture: evidence and implications for food and water security’, in J.A. Allan (ed.) </w:t>
      </w:r>
      <w:r w:rsidRPr="006639D8">
        <w:rPr>
          <w:rFonts w:ascii="Arial" w:hAnsi="Arial" w:cs="Arial"/>
          <w:i/>
          <w:iCs/>
        </w:rPr>
        <w:t>The Oxford Handbook of Food, Water and Society</w:t>
      </w:r>
      <w:r w:rsidRPr="006639D8">
        <w:rPr>
          <w:rFonts w:ascii="Arial" w:hAnsi="Arial" w:cs="Arial"/>
        </w:rPr>
        <w:t>. Oxford University Press.</w:t>
      </w:r>
    </w:p>
    <w:p w14:paraId="3162F5D9" w14:textId="77777777" w:rsidR="006639D8" w:rsidRPr="006639D8" w:rsidRDefault="006639D8" w:rsidP="006639D8">
      <w:pPr>
        <w:pStyle w:val="Bibliography"/>
        <w:rPr>
          <w:rFonts w:ascii="Arial" w:hAnsi="Arial" w:cs="Arial"/>
        </w:rPr>
      </w:pPr>
      <w:r w:rsidRPr="006639D8">
        <w:rPr>
          <w:rFonts w:ascii="Arial" w:hAnsi="Arial" w:cs="Arial"/>
        </w:rPr>
        <w:t xml:space="preserve">Stevens, F.R. </w:t>
      </w:r>
      <w:r w:rsidRPr="006639D8">
        <w:rPr>
          <w:rFonts w:ascii="Arial" w:hAnsi="Arial" w:cs="Arial"/>
          <w:i/>
          <w:iCs/>
        </w:rPr>
        <w:t>et al.</w:t>
      </w:r>
      <w:r w:rsidRPr="006639D8">
        <w:rPr>
          <w:rFonts w:ascii="Arial" w:hAnsi="Arial" w:cs="Arial"/>
        </w:rPr>
        <w:t xml:space="preserve"> (2015) ‘Disaggregating Census Data for Population Mapping Using Random Forests with </w:t>
      </w:r>
      <w:proofErr w:type="gramStart"/>
      <w:r w:rsidRPr="006639D8">
        <w:rPr>
          <w:rFonts w:ascii="Arial" w:hAnsi="Arial" w:cs="Arial"/>
        </w:rPr>
        <w:t>Remotely-Sensed</w:t>
      </w:r>
      <w:proofErr w:type="gramEnd"/>
      <w:r w:rsidRPr="006639D8">
        <w:rPr>
          <w:rFonts w:ascii="Arial" w:hAnsi="Arial" w:cs="Arial"/>
        </w:rPr>
        <w:t xml:space="preserve"> and Ancillary Data’, </w:t>
      </w:r>
      <w:r w:rsidRPr="006639D8">
        <w:rPr>
          <w:rFonts w:ascii="Arial" w:hAnsi="Arial" w:cs="Arial"/>
          <w:i/>
          <w:iCs/>
        </w:rPr>
        <w:t>PLOS ONE</w:t>
      </w:r>
      <w:r w:rsidRPr="006639D8">
        <w:rPr>
          <w:rFonts w:ascii="Arial" w:hAnsi="Arial" w:cs="Arial"/>
        </w:rPr>
        <w:t>, 10(2), p. e0107042. Available at: https://doi.org/10.1371/journal.pone.0107042.</w:t>
      </w:r>
    </w:p>
    <w:p w14:paraId="3C7E4A18" w14:textId="77777777" w:rsidR="006639D8" w:rsidRPr="006639D8" w:rsidRDefault="006639D8" w:rsidP="006639D8">
      <w:pPr>
        <w:pStyle w:val="Bibliography"/>
        <w:rPr>
          <w:rFonts w:ascii="Arial" w:hAnsi="Arial" w:cs="Arial"/>
        </w:rPr>
      </w:pPr>
      <w:r w:rsidRPr="006639D8">
        <w:rPr>
          <w:rFonts w:ascii="Arial" w:hAnsi="Arial" w:cs="Arial"/>
        </w:rPr>
        <w:t xml:space="preserve">Szarka, N. and </w:t>
      </w:r>
      <w:proofErr w:type="spellStart"/>
      <w:r w:rsidRPr="006639D8">
        <w:rPr>
          <w:rFonts w:ascii="Arial" w:hAnsi="Arial" w:cs="Arial"/>
        </w:rPr>
        <w:t>Biljecki</w:t>
      </w:r>
      <w:proofErr w:type="spellEnd"/>
      <w:r w:rsidRPr="006639D8">
        <w:rPr>
          <w:rFonts w:ascii="Arial" w:hAnsi="Arial" w:cs="Arial"/>
        </w:rPr>
        <w:t xml:space="preserve">, F. (2022) ‘Population estimation beyond counts—Inferring demographic characteristics’, </w:t>
      </w:r>
      <w:r w:rsidRPr="006639D8">
        <w:rPr>
          <w:rFonts w:ascii="Arial" w:hAnsi="Arial" w:cs="Arial"/>
          <w:i/>
          <w:iCs/>
        </w:rPr>
        <w:t>PLOS ONE</w:t>
      </w:r>
      <w:r w:rsidRPr="006639D8">
        <w:rPr>
          <w:rFonts w:ascii="Arial" w:hAnsi="Arial" w:cs="Arial"/>
        </w:rPr>
        <w:t>, 17(4), p. e0266484. Available at: https://doi.org/10.1371/journal.pone.0266484.</w:t>
      </w:r>
    </w:p>
    <w:p w14:paraId="53ED4067" w14:textId="77777777" w:rsidR="006639D8" w:rsidRPr="006639D8" w:rsidRDefault="006639D8" w:rsidP="006639D8">
      <w:pPr>
        <w:pStyle w:val="Bibliography"/>
        <w:rPr>
          <w:rFonts w:ascii="Arial" w:hAnsi="Arial" w:cs="Arial"/>
        </w:rPr>
      </w:pPr>
      <w:r w:rsidRPr="006639D8">
        <w:rPr>
          <w:rFonts w:ascii="Arial" w:hAnsi="Arial" w:cs="Arial"/>
        </w:rPr>
        <w:t xml:space="preserve">Tatem, A.J. (2022) ‘Small area population denominators for improved disease surveillance and response’, </w:t>
      </w:r>
      <w:r w:rsidRPr="006639D8">
        <w:rPr>
          <w:rFonts w:ascii="Arial" w:hAnsi="Arial" w:cs="Arial"/>
          <w:i/>
          <w:iCs/>
        </w:rPr>
        <w:t>Epidemics</w:t>
      </w:r>
      <w:r w:rsidRPr="006639D8">
        <w:rPr>
          <w:rFonts w:ascii="Arial" w:hAnsi="Arial" w:cs="Arial"/>
        </w:rPr>
        <w:t>, 40, p. 100597. Available at: https://doi.org/10.1016/j.epidem.2022.100597.</w:t>
      </w:r>
    </w:p>
    <w:p w14:paraId="4FCC8669" w14:textId="77777777" w:rsidR="006639D8" w:rsidRPr="006639D8" w:rsidRDefault="006639D8" w:rsidP="006639D8">
      <w:pPr>
        <w:pStyle w:val="Bibliography"/>
        <w:rPr>
          <w:rFonts w:ascii="Arial" w:hAnsi="Arial" w:cs="Arial"/>
        </w:rPr>
      </w:pPr>
      <w:r w:rsidRPr="006639D8">
        <w:rPr>
          <w:rFonts w:ascii="Arial" w:hAnsi="Arial" w:cs="Arial"/>
        </w:rPr>
        <w:t xml:space="preserve">Tobler, W. </w:t>
      </w:r>
      <w:r w:rsidRPr="006639D8">
        <w:rPr>
          <w:rFonts w:ascii="Arial" w:hAnsi="Arial" w:cs="Arial"/>
          <w:i/>
          <w:iCs/>
        </w:rPr>
        <w:t>et al.</w:t>
      </w:r>
      <w:r w:rsidRPr="006639D8">
        <w:rPr>
          <w:rFonts w:ascii="Arial" w:hAnsi="Arial" w:cs="Arial"/>
        </w:rPr>
        <w:t xml:space="preserve"> (1997) ‘World population in a grid of spherical quadrilaterals’, </w:t>
      </w:r>
      <w:r w:rsidRPr="006639D8">
        <w:rPr>
          <w:rFonts w:ascii="Arial" w:hAnsi="Arial" w:cs="Arial"/>
          <w:i/>
          <w:iCs/>
        </w:rPr>
        <w:t>International Journal of Population Geography</w:t>
      </w:r>
      <w:r w:rsidRPr="006639D8">
        <w:rPr>
          <w:rFonts w:ascii="Arial" w:hAnsi="Arial" w:cs="Arial"/>
        </w:rPr>
        <w:t>, 3(3), pp. 203–225. Available at: https://doi.org/10.1002/(SICI)1099-1220(199709)3:3&lt;</w:t>
      </w:r>
      <w:proofErr w:type="gramStart"/>
      <w:r w:rsidRPr="006639D8">
        <w:rPr>
          <w:rFonts w:ascii="Arial" w:hAnsi="Arial" w:cs="Arial"/>
        </w:rPr>
        <w:t>203::</w:t>
      </w:r>
      <w:proofErr w:type="gramEnd"/>
      <w:r w:rsidRPr="006639D8">
        <w:rPr>
          <w:rFonts w:ascii="Arial" w:hAnsi="Arial" w:cs="Arial"/>
        </w:rPr>
        <w:t>AID-IJPG68&gt;3.0.CO;2-C.</w:t>
      </w:r>
    </w:p>
    <w:p w14:paraId="744D3F8F" w14:textId="77777777" w:rsidR="006639D8" w:rsidRPr="006639D8" w:rsidRDefault="006639D8" w:rsidP="006639D8">
      <w:pPr>
        <w:pStyle w:val="Bibliography"/>
        <w:rPr>
          <w:rFonts w:ascii="Arial" w:hAnsi="Arial" w:cs="Arial"/>
        </w:rPr>
      </w:pPr>
      <w:r w:rsidRPr="006639D8">
        <w:rPr>
          <w:rFonts w:ascii="Arial" w:hAnsi="Arial" w:cs="Arial"/>
        </w:rPr>
        <w:lastRenderedPageBreak/>
        <w:t xml:space="preserve">Tobler, W.R. (1970) ‘A Computer Movie Simulating Urban Growth in the Detroit Region’, </w:t>
      </w:r>
      <w:r w:rsidRPr="006639D8">
        <w:rPr>
          <w:rFonts w:ascii="Arial" w:hAnsi="Arial" w:cs="Arial"/>
          <w:i/>
          <w:iCs/>
        </w:rPr>
        <w:t>Economic Geography</w:t>
      </w:r>
      <w:r w:rsidRPr="006639D8">
        <w:rPr>
          <w:rFonts w:ascii="Arial" w:hAnsi="Arial" w:cs="Arial"/>
        </w:rPr>
        <w:t>, 46, pp. 234–240. Available at: https://doi.org/10.2307/143141.</w:t>
      </w:r>
    </w:p>
    <w:p w14:paraId="528C53D9" w14:textId="77777777" w:rsidR="006639D8" w:rsidRPr="006639D8" w:rsidRDefault="006639D8" w:rsidP="006639D8">
      <w:pPr>
        <w:pStyle w:val="Bibliography"/>
        <w:rPr>
          <w:rFonts w:ascii="Arial" w:hAnsi="Arial" w:cs="Arial"/>
        </w:rPr>
      </w:pPr>
      <w:r w:rsidRPr="006639D8">
        <w:rPr>
          <w:rFonts w:ascii="Arial" w:hAnsi="Arial" w:cs="Arial"/>
        </w:rPr>
        <w:t xml:space="preserve">Tobler, W.R. (1979) ‘Smooth Pycnophylactic Interpolation for Geographical Regions’, </w:t>
      </w:r>
      <w:r w:rsidRPr="006639D8">
        <w:rPr>
          <w:rFonts w:ascii="Arial" w:hAnsi="Arial" w:cs="Arial"/>
          <w:i/>
          <w:iCs/>
        </w:rPr>
        <w:t>Journal of the American Statistical Association</w:t>
      </w:r>
      <w:r w:rsidRPr="006639D8">
        <w:rPr>
          <w:rFonts w:ascii="Arial" w:hAnsi="Arial" w:cs="Arial"/>
        </w:rPr>
        <w:t>, 74(367), pp. 519–530. Available at: https://doi.org/10.2307/2286968.</w:t>
      </w:r>
    </w:p>
    <w:p w14:paraId="6C799242" w14:textId="77777777" w:rsidR="006639D8" w:rsidRPr="006639D8" w:rsidRDefault="006639D8" w:rsidP="006639D8">
      <w:pPr>
        <w:pStyle w:val="Bibliography"/>
        <w:rPr>
          <w:rFonts w:ascii="Arial" w:hAnsi="Arial" w:cs="Arial"/>
        </w:rPr>
      </w:pPr>
      <w:proofErr w:type="spellStart"/>
      <w:r w:rsidRPr="006639D8">
        <w:rPr>
          <w:rFonts w:ascii="Arial" w:hAnsi="Arial" w:cs="Arial"/>
        </w:rPr>
        <w:t>Tuholske</w:t>
      </w:r>
      <w:proofErr w:type="spellEnd"/>
      <w:r w:rsidRPr="006639D8">
        <w:rPr>
          <w:rFonts w:ascii="Arial" w:hAnsi="Arial" w:cs="Arial"/>
        </w:rPr>
        <w:t xml:space="preserve">, C. </w:t>
      </w:r>
      <w:r w:rsidRPr="006639D8">
        <w:rPr>
          <w:rFonts w:ascii="Arial" w:hAnsi="Arial" w:cs="Arial"/>
          <w:i/>
          <w:iCs/>
        </w:rPr>
        <w:t>et al.</w:t>
      </w:r>
      <w:r w:rsidRPr="006639D8">
        <w:rPr>
          <w:rFonts w:ascii="Arial" w:hAnsi="Arial" w:cs="Arial"/>
        </w:rPr>
        <w:t xml:space="preserve"> (2021) ‘Implications for Tracking SDG Indicator Metrics with Gridded Population Data’, </w:t>
      </w:r>
      <w:r w:rsidRPr="006639D8">
        <w:rPr>
          <w:rFonts w:ascii="Arial" w:hAnsi="Arial" w:cs="Arial"/>
          <w:i/>
          <w:iCs/>
        </w:rPr>
        <w:t>Sustainability</w:t>
      </w:r>
      <w:r w:rsidRPr="006639D8">
        <w:rPr>
          <w:rFonts w:ascii="Arial" w:hAnsi="Arial" w:cs="Arial"/>
        </w:rPr>
        <w:t>, 13(13), p. 7329. Available at: https://doi.org/10.3390/su13137329.</w:t>
      </w:r>
    </w:p>
    <w:p w14:paraId="0EECD36F" w14:textId="77777777" w:rsidR="006639D8" w:rsidRPr="006639D8" w:rsidRDefault="006639D8" w:rsidP="006639D8">
      <w:pPr>
        <w:pStyle w:val="Bibliography"/>
        <w:rPr>
          <w:rFonts w:ascii="Arial" w:hAnsi="Arial" w:cs="Arial"/>
        </w:rPr>
      </w:pPr>
      <w:r w:rsidRPr="006639D8">
        <w:rPr>
          <w:rFonts w:ascii="Arial" w:hAnsi="Arial" w:cs="Arial"/>
        </w:rPr>
        <w:t xml:space="preserve">United Nations (2022) </w:t>
      </w:r>
      <w:r w:rsidRPr="006639D8">
        <w:rPr>
          <w:rFonts w:ascii="Arial" w:hAnsi="Arial" w:cs="Arial"/>
          <w:i/>
          <w:iCs/>
        </w:rPr>
        <w:t>The Sustainable Development Goals Report 2022</w:t>
      </w:r>
      <w:r w:rsidRPr="006639D8">
        <w:rPr>
          <w:rFonts w:ascii="Arial" w:hAnsi="Arial" w:cs="Arial"/>
        </w:rPr>
        <w:t>. New York, NY: United Nations. Available at: https://unstats.un.org/sdgs/report/2022/.</w:t>
      </w:r>
    </w:p>
    <w:p w14:paraId="2E77FAB4" w14:textId="77777777" w:rsidR="006639D8" w:rsidRPr="006639D8" w:rsidRDefault="006639D8" w:rsidP="006639D8">
      <w:pPr>
        <w:pStyle w:val="Bibliography"/>
        <w:rPr>
          <w:rFonts w:ascii="Arial" w:hAnsi="Arial" w:cs="Arial"/>
        </w:rPr>
      </w:pPr>
      <w:r w:rsidRPr="006639D8">
        <w:rPr>
          <w:rFonts w:ascii="Arial" w:hAnsi="Arial" w:cs="Arial"/>
        </w:rPr>
        <w:t xml:space="preserve">United Nations in India (2022) </w:t>
      </w:r>
      <w:r w:rsidRPr="006639D8">
        <w:rPr>
          <w:rFonts w:ascii="Arial" w:hAnsi="Arial" w:cs="Arial"/>
          <w:i/>
          <w:iCs/>
        </w:rPr>
        <w:t>UN India Annual Report 2021</w:t>
      </w:r>
      <w:r w:rsidRPr="006639D8">
        <w:rPr>
          <w:rFonts w:ascii="Arial" w:hAnsi="Arial" w:cs="Arial"/>
        </w:rPr>
        <w:t>. New Delhi, India. Available at: https://india.un.org/en/195240-un-india-annual-report-2021 (Accessed: 30 May 2023).</w:t>
      </w:r>
    </w:p>
    <w:p w14:paraId="4BD999C4" w14:textId="77777777" w:rsidR="006639D8" w:rsidRPr="006639D8" w:rsidRDefault="006639D8" w:rsidP="006639D8">
      <w:pPr>
        <w:pStyle w:val="Bibliography"/>
        <w:rPr>
          <w:rFonts w:ascii="Arial" w:hAnsi="Arial" w:cs="Arial"/>
        </w:rPr>
      </w:pPr>
      <w:r w:rsidRPr="006639D8">
        <w:rPr>
          <w:rFonts w:ascii="Arial" w:hAnsi="Arial" w:cs="Arial"/>
        </w:rPr>
        <w:t xml:space="preserve">Viel, J.-F. and Tran, A. (2009) ‘Estimating Denominators: Satellite-Based Population Estimates at a Fine Spatial Resolution in a European Urban Area’, </w:t>
      </w:r>
      <w:r w:rsidRPr="006639D8">
        <w:rPr>
          <w:rFonts w:ascii="Arial" w:hAnsi="Arial" w:cs="Arial"/>
          <w:i/>
          <w:iCs/>
        </w:rPr>
        <w:t>Epidemiology</w:t>
      </w:r>
      <w:r w:rsidRPr="006639D8">
        <w:rPr>
          <w:rFonts w:ascii="Arial" w:hAnsi="Arial" w:cs="Arial"/>
        </w:rPr>
        <w:t>, 20(2), pp. 214–222.</w:t>
      </w:r>
    </w:p>
    <w:p w14:paraId="75ECCDE4" w14:textId="77777777" w:rsidR="006639D8" w:rsidRPr="006639D8" w:rsidRDefault="006639D8" w:rsidP="006639D8">
      <w:pPr>
        <w:pStyle w:val="Bibliography"/>
        <w:rPr>
          <w:rFonts w:ascii="Arial" w:hAnsi="Arial" w:cs="Arial"/>
        </w:rPr>
      </w:pPr>
      <w:r w:rsidRPr="006639D8">
        <w:rPr>
          <w:rFonts w:ascii="Arial" w:hAnsi="Arial" w:cs="Arial"/>
        </w:rPr>
        <w:t xml:space="preserve">Wardrop, N.A. </w:t>
      </w:r>
      <w:r w:rsidRPr="006639D8">
        <w:rPr>
          <w:rFonts w:ascii="Arial" w:hAnsi="Arial" w:cs="Arial"/>
          <w:i/>
          <w:iCs/>
        </w:rPr>
        <w:t>et al.</w:t>
      </w:r>
      <w:r w:rsidRPr="006639D8">
        <w:rPr>
          <w:rFonts w:ascii="Arial" w:hAnsi="Arial" w:cs="Arial"/>
        </w:rPr>
        <w:t xml:space="preserve"> (2018) ‘Spatially disaggregated population estimates in the absence of national population and housing census data’, </w:t>
      </w:r>
      <w:r w:rsidRPr="006639D8">
        <w:rPr>
          <w:rFonts w:ascii="Arial" w:hAnsi="Arial" w:cs="Arial"/>
          <w:i/>
          <w:iCs/>
        </w:rPr>
        <w:t>Proceedings of the National Academy of Sciences</w:t>
      </w:r>
      <w:r w:rsidRPr="006639D8">
        <w:rPr>
          <w:rFonts w:ascii="Arial" w:hAnsi="Arial" w:cs="Arial"/>
        </w:rPr>
        <w:t>, 115(14), pp. 3529–3537. Available at: https://doi.org/10.1073/pnas.1715305115.</w:t>
      </w:r>
    </w:p>
    <w:p w14:paraId="18A38DEE" w14:textId="77777777" w:rsidR="006639D8" w:rsidRPr="006639D8" w:rsidRDefault="006639D8" w:rsidP="006639D8">
      <w:pPr>
        <w:pStyle w:val="Bibliography"/>
        <w:rPr>
          <w:rFonts w:ascii="Arial" w:hAnsi="Arial" w:cs="Arial"/>
        </w:rPr>
      </w:pPr>
      <w:r w:rsidRPr="006639D8">
        <w:rPr>
          <w:rFonts w:ascii="Arial" w:hAnsi="Arial" w:cs="Arial"/>
        </w:rPr>
        <w:t xml:space="preserve">You, L. and Wood, S. (2006) ‘An entropy approach to spatial disaggregation of agricultural production’, </w:t>
      </w:r>
      <w:r w:rsidRPr="006639D8">
        <w:rPr>
          <w:rFonts w:ascii="Arial" w:hAnsi="Arial" w:cs="Arial"/>
          <w:i/>
          <w:iCs/>
        </w:rPr>
        <w:t>Agricultural Systems</w:t>
      </w:r>
      <w:r w:rsidRPr="006639D8">
        <w:rPr>
          <w:rFonts w:ascii="Arial" w:hAnsi="Arial" w:cs="Arial"/>
        </w:rPr>
        <w:t>, 90(1), pp. 329–347. Available at: https://doi.org/10.1016/j.agsy.2006.01.008.</w:t>
      </w:r>
    </w:p>
    <w:p w14:paraId="55889EBA" w14:textId="77777777" w:rsidR="006639D8" w:rsidRPr="006639D8" w:rsidRDefault="006639D8" w:rsidP="006639D8">
      <w:pPr>
        <w:pStyle w:val="Bibliography"/>
        <w:rPr>
          <w:rFonts w:ascii="Arial" w:hAnsi="Arial" w:cs="Arial"/>
        </w:rPr>
      </w:pPr>
      <w:proofErr w:type="spellStart"/>
      <w:r w:rsidRPr="006639D8">
        <w:rPr>
          <w:rFonts w:ascii="Arial" w:hAnsi="Arial" w:cs="Arial"/>
        </w:rPr>
        <w:t>Zarkovich</w:t>
      </w:r>
      <w:proofErr w:type="spellEnd"/>
      <w:r w:rsidRPr="006639D8">
        <w:rPr>
          <w:rFonts w:ascii="Arial" w:hAnsi="Arial" w:cs="Arial"/>
        </w:rPr>
        <w:t xml:space="preserve">, S.S., Bosnich, S. and </w:t>
      </w:r>
      <w:proofErr w:type="spellStart"/>
      <w:r w:rsidRPr="006639D8">
        <w:rPr>
          <w:rFonts w:ascii="Arial" w:hAnsi="Arial" w:cs="Arial"/>
        </w:rPr>
        <w:t>Anichich</w:t>
      </w:r>
      <w:proofErr w:type="spellEnd"/>
      <w:r w:rsidRPr="006639D8">
        <w:rPr>
          <w:rFonts w:ascii="Arial" w:hAnsi="Arial" w:cs="Arial"/>
        </w:rPr>
        <w:t xml:space="preserve">, Z. (1976) ‘Agricultural Population’, </w:t>
      </w:r>
      <w:r w:rsidRPr="006639D8">
        <w:rPr>
          <w:rFonts w:ascii="Arial" w:hAnsi="Arial" w:cs="Arial"/>
          <w:i/>
          <w:iCs/>
        </w:rPr>
        <w:t xml:space="preserve">International Statistical Review / Revue Internationale de </w:t>
      </w:r>
      <w:proofErr w:type="spellStart"/>
      <w:r w:rsidRPr="006639D8">
        <w:rPr>
          <w:rFonts w:ascii="Arial" w:hAnsi="Arial" w:cs="Arial"/>
          <w:i/>
          <w:iCs/>
        </w:rPr>
        <w:t>Statistique</w:t>
      </w:r>
      <w:proofErr w:type="spellEnd"/>
      <w:r w:rsidRPr="006639D8">
        <w:rPr>
          <w:rFonts w:ascii="Arial" w:hAnsi="Arial" w:cs="Arial"/>
        </w:rPr>
        <w:t>, 44(2), pp. 283–288. Available at: https://doi.org/10.2307/1403288.</w:t>
      </w:r>
    </w:p>
    <w:p w14:paraId="43B79DD1" w14:textId="36944374"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1"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8" w:author="Joe P" w:date="2023-08-05T01:41:00Z" w:initials="JP">
    <w:p w14:paraId="6DA63AD5" w14:textId="77777777" w:rsidR="004C36C8" w:rsidRDefault="004C36C8" w:rsidP="003B4F6D">
      <w:pPr>
        <w:pStyle w:val="CommentText"/>
        <w:jc w:val="left"/>
      </w:pPr>
      <w:r>
        <w:rPr>
          <w:rStyle w:val="CommentReference"/>
        </w:rPr>
        <w:annotationRef/>
      </w:r>
      <w:r>
        <w:t>The remainder of this paragraph focuses heavily on water tanks; reframe to fit with broader scope of study/ADP?</w:t>
      </w:r>
    </w:p>
  </w:comment>
  <w:comment w:id="19" w:author="Joe P" w:date="2023-08-05T01:44:00Z" w:initials="JP">
    <w:p w14:paraId="785DE800" w14:textId="77777777" w:rsidR="00304FFB" w:rsidRDefault="00304FFB" w:rsidP="00B92773">
      <w:pPr>
        <w:pStyle w:val="CommentText"/>
        <w:jc w:val="left"/>
      </w:pPr>
      <w:r>
        <w:rPr>
          <w:rStyle w:val="CommentReference"/>
        </w:rPr>
        <w:annotationRef/>
      </w:r>
      <w:r>
        <w:t>Add a paragraph explaining how ADP is conceptualised in this study; reference the more technical discussion to come in Methodology (which will include the specific equations)</w:t>
      </w:r>
    </w:p>
  </w:comment>
  <w:comment w:id="21" w:author="Joe P" w:date="2023-06-07T11:45:00Z" w:initials="JP">
    <w:p w14:paraId="75723AEC" w14:textId="46A7041A" w:rsidR="00774F9D" w:rsidRDefault="00774F9D" w:rsidP="008844DD">
      <w:pPr>
        <w:pStyle w:val="CommentText"/>
        <w:jc w:val="left"/>
      </w:pPr>
      <w:r>
        <w:rPr>
          <w:rStyle w:val="CommentReference"/>
        </w:rPr>
        <w:annotationRef/>
      </w:r>
      <w:r>
        <w:t>Incorporate this section into intro paragraphs above?</w:t>
      </w:r>
    </w:p>
  </w:comment>
  <w:comment w:id="22" w:author="Joe P" w:date="2023-08-05T00:36:00Z" w:initials="JP">
    <w:p w14:paraId="6610A270" w14:textId="77777777" w:rsidR="00CD2B96" w:rsidRDefault="00CD2B96" w:rsidP="0018700E">
      <w:pPr>
        <w:pStyle w:val="CommentText"/>
        <w:jc w:val="left"/>
      </w:pPr>
      <w:r>
        <w:rPr>
          <w:rStyle w:val="CommentReference"/>
        </w:rPr>
        <w:annotationRef/>
      </w:r>
      <w:r>
        <w:t>NEED TO COMPUTE THESE VALUES</w:t>
      </w:r>
    </w:p>
  </w:comment>
  <w:comment w:id="33" w:author="Joe P" w:date="2023-08-03T12:07:00Z" w:initials="JP">
    <w:p w14:paraId="32C08E6C" w14:textId="082CB409" w:rsidR="0030188D" w:rsidRDefault="0030188D" w:rsidP="00D31CC3">
      <w:pPr>
        <w:pStyle w:val="CommentText"/>
        <w:jc w:val="left"/>
      </w:pPr>
      <w:r>
        <w:rPr>
          <w:rStyle w:val="CommentReference"/>
        </w:rPr>
        <w:annotationRef/>
      </w:r>
      <w:r>
        <w:t>Move section, or rename subtitle to fit into flow of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6DA63AD5" w15:done="0"/>
  <w15:commentEx w15:paraId="785DE800" w15:done="0"/>
  <w15:commentEx w15:paraId="75723AEC" w15:done="0"/>
  <w15:commentEx w15:paraId="6610A270" w15:done="0"/>
  <w15:commentEx w15:paraId="32C08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782741" w16cex:dateUtc="2023-08-05T00:41:00Z"/>
  <w16cex:commentExtensible w16cex:durableId="287827E5" w16cex:dateUtc="2023-08-05T00:44:00Z"/>
  <w16cex:commentExtensible w16cex:durableId="282AEC62" w16cex:dateUtc="2023-06-07T10:45:00Z"/>
  <w16cex:commentExtensible w16cex:durableId="2878180F" w16cex:dateUtc="2023-08-04T23:36:00Z"/>
  <w16cex:commentExtensible w16cex:durableId="287616FC" w16cex:dateUtc="2023-08-03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6DA63AD5" w16cid:durableId="28782741"/>
  <w16cid:commentId w16cid:paraId="785DE800" w16cid:durableId="287827E5"/>
  <w16cid:commentId w16cid:paraId="75723AEC" w16cid:durableId="282AEC62"/>
  <w16cid:commentId w16cid:paraId="6610A270" w16cid:durableId="2878180F"/>
  <w16cid:commentId w16cid:paraId="32C08E6C" w16cid:durableId="287616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7D4EB4"/>
    <w:multiLevelType w:val="multilevel"/>
    <w:tmpl w:val="69F68DC8"/>
    <w:lvl w:ilvl="0">
      <w:start w:val="1"/>
      <w:numFmt w:val="decimal"/>
      <w:lvlText w:val="%1."/>
      <w:lvlJc w:val="left"/>
      <w:pPr>
        <w:ind w:left="720" w:hanging="360"/>
      </w:pPr>
      <w:rPr>
        <w:rFonts w:hint="default"/>
      </w:rPr>
    </w:lvl>
    <w:lvl w:ilvl="1">
      <w:start w:val="4"/>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4"/>
  </w:num>
  <w:num w:numId="2" w16cid:durableId="721709414">
    <w:abstractNumId w:val="7"/>
  </w:num>
  <w:num w:numId="3" w16cid:durableId="1819571016">
    <w:abstractNumId w:val="18"/>
  </w:num>
  <w:num w:numId="4" w16cid:durableId="495920517">
    <w:abstractNumId w:val="0"/>
  </w:num>
  <w:num w:numId="5" w16cid:durableId="1691027586">
    <w:abstractNumId w:val="10"/>
  </w:num>
  <w:num w:numId="6" w16cid:durableId="1115101120">
    <w:abstractNumId w:val="15"/>
  </w:num>
  <w:num w:numId="7" w16cid:durableId="2059545312">
    <w:abstractNumId w:val="14"/>
  </w:num>
  <w:num w:numId="8" w16cid:durableId="1826318471">
    <w:abstractNumId w:val="17"/>
  </w:num>
  <w:num w:numId="9" w16cid:durableId="1691641178">
    <w:abstractNumId w:val="8"/>
  </w:num>
  <w:num w:numId="10" w16cid:durableId="850797258">
    <w:abstractNumId w:val="11"/>
  </w:num>
  <w:num w:numId="11" w16cid:durableId="113066109">
    <w:abstractNumId w:val="3"/>
  </w:num>
  <w:num w:numId="12" w16cid:durableId="679699158">
    <w:abstractNumId w:val="5"/>
  </w:num>
  <w:num w:numId="13" w16cid:durableId="615914477">
    <w:abstractNumId w:val="6"/>
  </w:num>
  <w:num w:numId="14" w16cid:durableId="1733697690">
    <w:abstractNumId w:val="12"/>
  </w:num>
  <w:num w:numId="15" w16cid:durableId="476263124">
    <w:abstractNumId w:val="2"/>
  </w:num>
  <w:num w:numId="16" w16cid:durableId="1186559874">
    <w:abstractNumId w:val="16"/>
  </w:num>
  <w:num w:numId="17" w16cid:durableId="1325206026">
    <w:abstractNumId w:val="13"/>
  </w:num>
  <w:num w:numId="18" w16cid:durableId="635450792">
    <w:abstractNumId w:val="9"/>
  </w:num>
  <w:num w:numId="19" w16cid:durableId="18374558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24AFE"/>
    <w:rsid w:val="00042EF4"/>
    <w:rsid w:val="00056203"/>
    <w:rsid w:val="000636D3"/>
    <w:rsid w:val="000661A5"/>
    <w:rsid w:val="000759DD"/>
    <w:rsid w:val="00091673"/>
    <w:rsid w:val="0009223A"/>
    <w:rsid w:val="000933C8"/>
    <w:rsid w:val="00095403"/>
    <w:rsid w:val="000973FE"/>
    <w:rsid w:val="00097DDE"/>
    <w:rsid w:val="000A0A8B"/>
    <w:rsid w:val="000B1827"/>
    <w:rsid w:val="000B2E87"/>
    <w:rsid w:val="000B3319"/>
    <w:rsid w:val="000B56E4"/>
    <w:rsid w:val="000B7FDB"/>
    <w:rsid w:val="000C417A"/>
    <w:rsid w:val="000D339B"/>
    <w:rsid w:val="000E5B1B"/>
    <w:rsid w:val="000F5982"/>
    <w:rsid w:val="000F5C13"/>
    <w:rsid w:val="000F7E9E"/>
    <w:rsid w:val="00102B31"/>
    <w:rsid w:val="00102E51"/>
    <w:rsid w:val="00117DF6"/>
    <w:rsid w:val="00122C75"/>
    <w:rsid w:val="00123C47"/>
    <w:rsid w:val="00152FC0"/>
    <w:rsid w:val="0016327D"/>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0F25"/>
    <w:rsid w:val="002823B1"/>
    <w:rsid w:val="00296D7E"/>
    <w:rsid w:val="002A307B"/>
    <w:rsid w:val="002A43A9"/>
    <w:rsid w:val="002A45F0"/>
    <w:rsid w:val="002B000E"/>
    <w:rsid w:val="002B3A74"/>
    <w:rsid w:val="002C722C"/>
    <w:rsid w:val="002C7B3B"/>
    <w:rsid w:val="002E2901"/>
    <w:rsid w:val="002E6437"/>
    <w:rsid w:val="002E6AB9"/>
    <w:rsid w:val="002F569F"/>
    <w:rsid w:val="0030188D"/>
    <w:rsid w:val="00304FFB"/>
    <w:rsid w:val="003175DE"/>
    <w:rsid w:val="00321130"/>
    <w:rsid w:val="00325379"/>
    <w:rsid w:val="0033141E"/>
    <w:rsid w:val="003321F4"/>
    <w:rsid w:val="00334D61"/>
    <w:rsid w:val="00337EAE"/>
    <w:rsid w:val="00341784"/>
    <w:rsid w:val="00342554"/>
    <w:rsid w:val="00342A74"/>
    <w:rsid w:val="00354332"/>
    <w:rsid w:val="00355689"/>
    <w:rsid w:val="003562DB"/>
    <w:rsid w:val="003640F5"/>
    <w:rsid w:val="0037614E"/>
    <w:rsid w:val="0037642D"/>
    <w:rsid w:val="00376FC0"/>
    <w:rsid w:val="00380D6D"/>
    <w:rsid w:val="0038350C"/>
    <w:rsid w:val="00396B52"/>
    <w:rsid w:val="003A2969"/>
    <w:rsid w:val="003A4F3A"/>
    <w:rsid w:val="003B4347"/>
    <w:rsid w:val="003C1CCC"/>
    <w:rsid w:val="003C23FE"/>
    <w:rsid w:val="003D1273"/>
    <w:rsid w:val="003D2CB2"/>
    <w:rsid w:val="003E159A"/>
    <w:rsid w:val="003E2185"/>
    <w:rsid w:val="003E4307"/>
    <w:rsid w:val="003F1712"/>
    <w:rsid w:val="0041269A"/>
    <w:rsid w:val="004132AB"/>
    <w:rsid w:val="00416CFA"/>
    <w:rsid w:val="00417853"/>
    <w:rsid w:val="00424424"/>
    <w:rsid w:val="004253DE"/>
    <w:rsid w:val="00436E9B"/>
    <w:rsid w:val="0044524C"/>
    <w:rsid w:val="0045305C"/>
    <w:rsid w:val="004578B7"/>
    <w:rsid w:val="004619B3"/>
    <w:rsid w:val="00461A73"/>
    <w:rsid w:val="004701E2"/>
    <w:rsid w:val="00474658"/>
    <w:rsid w:val="0047502D"/>
    <w:rsid w:val="004925BB"/>
    <w:rsid w:val="00495C82"/>
    <w:rsid w:val="004B4980"/>
    <w:rsid w:val="004C36C8"/>
    <w:rsid w:val="004C5FB5"/>
    <w:rsid w:val="004D1CC8"/>
    <w:rsid w:val="004D254F"/>
    <w:rsid w:val="004E5AA4"/>
    <w:rsid w:val="004F0DB9"/>
    <w:rsid w:val="00502685"/>
    <w:rsid w:val="005109F6"/>
    <w:rsid w:val="00516505"/>
    <w:rsid w:val="00520285"/>
    <w:rsid w:val="00540B2E"/>
    <w:rsid w:val="005625B7"/>
    <w:rsid w:val="00566CF0"/>
    <w:rsid w:val="00574BB0"/>
    <w:rsid w:val="00575B7B"/>
    <w:rsid w:val="00585913"/>
    <w:rsid w:val="005904A8"/>
    <w:rsid w:val="00591FCA"/>
    <w:rsid w:val="00593361"/>
    <w:rsid w:val="005A2CCD"/>
    <w:rsid w:val="005A537D"/>
    <w:rsid w:val="005C3AD8"/>
    <w:rsid w:val="005E13E5"/>
    <w:rsid w:val="005F6076"/>
    <w:rsid w:val="0060329C"/>
    <w:rsid w:val="00630AE6"/>
    <w:rsid w:val="0064250D"/>
    <w:rsid w:val="0064375C"/>
    <w:rsid w:val="00660156"/>
    <w:rsid w:val="006639D8"/>
    <w:rsid w:val="00666244"/>
    <w:rsid w:val="0066661B"/>
    <w:rsid w:val="0067793C"/>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0562"/>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FB7"/>
    <w:rsid w:val="008071D3"/>
    <w:rsid w:val="0081472A"/>
    <w:rsid w:val="008276D4"/>
    <w:rsid w:val="008360A6"/>
    <w:rsid w:val="00860B6A"/>
    <w:rsid w:val="008655CA"/>
    <w:rsid w:val="008656A8"/>
    <w:rsid w:val="00866076"/>
    <w:rsid w:val="008666E6"/>
    <w:rsid w:val="00866C21"/>
    <w:rsid w:val="00867D8B"/>
    <w:rsid w:val="0087402B"/>
    <w:rsid w:val="00880D06"/>
    <w:rsid w:val="00883002"/>
    <w:rsid w:val="008905B5"/>
    <w:rsid w:val="00891BC0"/>
    <w:rsid w:val="008A39DC"/>
    <w:rsid w:val="008A7C14"/>
    <w:rsid w:val="008A7EAF"/>
    <w:rsid w:val="008B0E39"/>
    <w:rsid w:val="008B2B4B"/>
    <w:rsid w:val="008B572F"/>
    <w:rsid w:val="008B7336"/>
    <w:rsid w:val="008C2237"/>
    <w:rsid w:val="008C7464"/>
    <w:rsid w:val="008E70E1"/>
    <w:rsid w:val="008F2921"/>
    <w:rsid w:val="008F39E8"/>
    <w:rsid w:val="008F5D72"/>
    <w:rsid w:val="00901D29"/>
    <w:rsid w:val="009107B5"/>
    <w:rsid w:val="00914A21"/>
    <w:rsid w:val="00921144"/>
    <w:rsid w:val="00921F8C"/>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02BB9"/>
    <w:rsid w:val="00A044AB"/>
    <w:rsid w:val="00A207B9"/>
    <w:rsid w:val="00A275C1"/>
    <w:rsid w:val="00A405EF"/>
    <w:rsid w:val="00A42B3C"/>
    <w:rsid w:val="00A61EFB"/>
    <w:rsid w:val="00A67888"/>
    <w:rsid w:val="00A83330"/>
    <w:rsid w:val="00A83FF7"/>
    <w:rsid w:val="00AC180E"/>
    <w:rsid w:val="00AD4A57"/>
    <w:rsid w:val="00AD5AAD"/>
    <w:rsid w:val="00AF0716"/>
    <w:rsid w:val="00AF4F41"/>
    <w:rsid w:val="00B0551B"/>
    <w:rsid w:val="00B121B4"/>
    <w:rsid w:val="00B128B9"/>
    <w:rsid w:val="00B22899"/>
    <w:rsid w:val="00B24EAF"/>
    <w:rsid w:val="00B32147"/>
    <w:rsid w:val="00B33350"/>
    <w:rsid w:val="00B433D4"/>
    <w:rsid w:val="00B4628E"/>
    <w:rsid w:val="00B50C4A"/>
    <w:rsid w:val="00B52465"/>
    <w:rsid w:val="00B75936"/>
    <w:rsid w:val="00B9045B"/>
    <w:rsid w:val="00B95F99"/>
    <w:rsid w:val="00BA00EB"/>
    <w:rsid w:val="00BA2186"/>
    <w:rsid w:val="00BB065F"/>
    <w:rsid w:val="00BC10A5"/>
    <w:rsid w:val="00BD533C"/>
    <w:rsid w:val="00BD7621"/>
    <w:rsid w:val="00BD7A4B"/>
    <w:rsid w:val="00BE0376"/>
    <w:rsid w:val="00BE1EFE"/>
    <w:rsid w:val="00BF0799"/>
    <w:rsid w:val="00BF45CD"/>
    <w:rsid w:val="00C10490"/>
    <w:rsid w:val="00C10EE7"/>
    <w:rsid w:val="00C15929"/>
    <w:rsid w:val="00C15F4C"/>
    <w:rsid w:val="00C27676"/>
    <w:rsid w:val="00C27CEB"/>
    <w:rsid w:val="00C37EAC"/>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2B96"/>
    <w:rsid w:val="00CD3383"/>
    <w:rsid w:val="00CD3F46"/>
    <w:rsid w:val="00CE543F"/>
    <w:rsid w:val="00CF132D"/>
    <w:rsid w:val="00CF1A5B"/>
    <w:rsid w:val="00D11CD4"/>
    <w:rsid w:val="00D125F7"/>
    <w:rsid w:val="00D36FF4"/>
    <w:rsid w:val="00D37989"/>
    <w:rsid w:val="00D40AC4"/>
    <w:rsid w:val="00D41FC4"/>
    <w:rsid w:val="00D53B5B"/>
    <w:rsid w:val="00D57A7F"/>
    <w:rsid w:val="00D629E7"/>
    <w:rsid w:val="00D7598D"/>
    <w:rsid w:val="00D77EB0"/>
    <w:rsid w:val="00D8119A"/>
    <w:rsid w:val="00D92C6B"/>
    <w:rsid w:val="00D93779"/>
    <w:rsid w:val="00D96ED1"/>
    <w:rsid w:val="00DA16C1"/>
    <w:rsid w:val="00DA3E3A"/>
    <w:rsid w:val="00DA444D"/>
    <w:rsid w:val="00DA5C28"/>
    <w:rsid w:val="00DC5F99"/>
    <w:rsid w:val="00DD0DB2"/>
    <w:rsid w:val="00DD2F1D"/>
    <w:rsid w:val="00DD61FB"/>
    <w:rsid w:val="00DD66AB"/>
    <w:rsid w:val="00DE4B74"/>
    <w:rsid w:val="00DF6730"/>
    <w:rsid w:val="00E100F3"/>
    <w:rsid w:val="00E119AB"/>
    <w:rsid w:val="00E11DCB"/>
    <w:rsid w:val="00E20C2A"/>
    <w:rsid w:val="00E32821"/>
    <w:rsid w:val="00E328E0"/>
    <w:rsid w:val="00E342E3"/>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EF2DB8"/>
    <w:rsid w:val="00F137BA"/>
    <w:rsid w:val="00F15C1D"/>
    <w:rsid w:val="00F26731"/>
    <w:rsid w:val="00F26B03"/>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 w:type="paragraph" w:styleId="Revision">
    <w:name w:val="Revision"/>
    <w:hidden/>
    <w:uiPriority w:val="99"/>
    <w:semiHidden/>
    <w:rsid w:val="00B7593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hsl.jrc.ec.europa.eu/ghs_smod2023.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4156</TotalTime>
  <Pages>14</Pages>
  <Words>17609</Words>
  <Characters>100376</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74</cp:revision>
  <cp:lastPrinted>2023-05-05T15:20:00Z</cp:lastPrinted>
  <dcterms:created xsi:type="dcterms:W3CDTF">2023-05-24T12:47:00Z</dcterms:created>
  <dcterms:modified xsi:type="dcterms:W3CDTF">2023-08-05T00:58:00Z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id="TNdfnT1M"/&gt;&lt;style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