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1522607F" w:rsidR="00C27676" w:rsidRDefault="00C27676" w:rsidP="005E13E5">
      <w:pPr>
        <w:pStyle w:val="Heading1"/>
      </w:pPr>
      <w:r>
        <w:t>CASA</w:t>
      </w:r>
      <w:r w:rsidR="006A12BE">
        <w:t xml:space="preserve"> dissertation: Literature Review</w:t>
      </w:r>
    </w:p>
    <w:p w14:paraId="00B7619A" w14:textId="6A9C45F4" w:rsidR="00495C82" w:rsidRDefault="00C27676" w:rsidP="000661A5">
      <w:r>
        <w:t>Student Number: 22186878</w:t>
      </w:r>
    </w:p>
    <w:p w14:paraId="6A6D76CB" w14:textId="7EB85178" w:rsidR="002A307B" w:rsidRDefault="00C15929" w:rsidP="005E13E5">
      <w:pPr>
        <w:rPr>
          <w:color w:val="FF0000"/>
        </w:rPr>
      </w:pPr>
      <w:r>
        <w:t xml:space="preserve">Word count (excluding tables and figures): </w:t>
      </w:r>
      <w:r w:rsidR="002A307B">
        <w:t xml:space="preserve"> </w:t>
      </w:r>
      <w:r w:rsidR="00540B2E" w:rsidRPr="00540B2E">
        <w:rPr>
          <w:color w:val="FF0000"/>
        </w:rPr>
        <w:t>aim for 1200-1500 words.</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7AA9C7F1" w:rsidR="00102E51" w:rsidRDefault="00102E51" w:rsidP="00424424">
      <w:pPr>
        <w:pStyle w:val="ListParagraph"/>
        <w:numPr>
          <w:ilvl w:val="0"/>
          <w:numId w:val="17"/>
        </w:numPr>
      </w:pPr>
      <w:r>
        <w:t>Justification of extending project to India</w:t>
      </w:r>
    </w:p>
    <w:p w14:paraId="274D77E1" w14:textId="13FBDE3D" w:rsidR="00424424" w:rsidRDefault="00424424" w:rsidP="00424424">
      <w:pPr>
        <w:pStyle w:val="ListParagraph"/>
        <w:numPr>
          <w:ilvl w:val="0"/>
          <w:numId w:val="17"/>
        </w:numPr>
      </w:pPr>
      <w:r>
        <w:t>Research Questions</w:t>
      </w:r>
    </w:p>
    <w:p w14:paraId="1D2E2AC8" w14:textId="51CD501F" w:rsidR="00424424" w:rsidRDefault="00424424" w:rsidP="00424424">
      <w:pPr>
        <w:pStyle w:val="Heading3"/>
      </w:pPr>
      <w:r>
        <w:t>Literature Review</w:t>
      </w:r>
    </w:p>
    <w:p w14:paraId="32268B87" w14:textId="4E494382" w:rsidR="00540B2E" w:rsidRDefault="00540B2E" w:rsidP="00540B2E">
      <w:pPr>
        <w:pStyle w:val="ListParagraph"/>
        <w:numPr>
          <w:ilvl w:val="0"/>
          <w:numId w:val="17"/>
        </w:numPr>
      </w:pPr>
      <w:r>
        <w:t>Agricultural Dependent Populations</w:t>
      </w:r>
    </w:p>
    <w:p w14:paraId="6139A279" w14:textId="00D4CDF5" w:rsidR="00540B2E" w:rsidRDefault="00540B2E" w:rsidP="00540B2E">
      <w:pPr>
        <w:pStyle w:val="ListParagraph"/>
        <w:numPr>
          <w:ilvl w:val="1"/>
          <w:numId w:val="17"/>
        </w:numPr>
      </w:pPr>
      <w:r>
        <w:t xml:space="preserve">How is this defined in the literature? </w:t>
      </w:r>
    </w:p>
    <w:p w14:paraId="0878E922" w14:textId="19F9A062" w:rsidR="00540B2E" w:rsidRDefault="00540B2E" w:rsidP="00540B2E">
      <w:pPr>
        <w:pStyle w:val="ListParagraph"/>
        <w:numPr>
          <w:ilvl w:val="1"/>
          <w:numId w:val="17"/>
        </w:numPr>
      </w:pPr>
      <w:r>
        <w:t>Why is this term useful? What is the value of understanding this population?</w:t>
      </w:r>
    </w:p>
    <w:p w14:paraId="654B5415" w14:textId="315B4D01" w:rsidR="00102E51" w:rsidRDefault="00102E51" w:rsidP="00102E51">
      <w:pPr>
        <w:pStyle w:val="ListParagraph"/>
        <w:numPr>
          <w:ilvl w:val="0"/>
          <w:numId w:val="17"/>
        </w:numPr>
      </w:pPr>
      <w:r>
        <w:t>Indian context</w:t>
      </w:r>
    </w:p>
    <w:p w14:paraId="76CC4347" w14:textId="19A81238" w:rsidR="00102E51" w:rsidRDefault="00102E51" w:rsidP="00102E51">
      <w:pPr>
        <w:pStyle w:val="ListParagraph"/>
        <w:numPr>
          <w:ilvl w:val="1"/>
          <w:numId w:val="17"/>
        </w:numPr>
      </w:pPr>
      <w:r>
        <w:t>States/districts/villages formation</w:t>
      </w:r>
    </w:p>
    <w:p w14:paraId="36BFFB5F" w14:textId="434DE0DA" w:rsidR="00102E51" w:rsidRDefault="00102E51" w:rsidP="00102E51">
      <w:pPr>
        <w:pStyle w:val="ListParagraph"/>
        <w:numPr>
          <w:ilvl w:val="1"/>
          <w:numId w:val="17"/>
        </w:numPr>
      </w:pPr>
      <w:r>
        <w:t>National-level agricultural dependence, statistics</w:t>
      </w:r>
    </w:p>
    <w:p w14:paraId="2356B2E9" w14:textId="7334E090" w:rsidR="00102E51" w:rsidRDefault="00102E51" w:rsidP="00102E51">
      <w:pPr>
        <w:pStyle w:val="ListParagraph"/>
        <w:numPr>
          <w:ilvl w:val="1"/>
          <w:numId w:val="17"/>
        </w:numPr>
      </w:pPr>
      <w:r>
        <w:t>Available census data; opportunities and limitations</w:t>
      </w:r>
    </w:p>
    <w:p w14:paraId="30DD70AB" w14:textId="78B16434" w:rsidR="00540B2E" w:rsidRDefault="00540B2E" w:rsidP="00540B2E">
      <w:pPr>
        <w:pStyle w:val="ListParagraph"/>
        <w:numPr>
          <w:ilvl w:val="0"/>
          <w:numId w:val="17"/>
        </w:numPr>
      </w:pPr>
      <w:r>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t xml:space="preserve">Examples of spatial disaggregation methods; their strengths and weaknesses. </w:t>
      </w:r>
    </w:p>
    <w:p w14:paraId="5B46ECFA" w14:textId="3E258022" w:rsidR="00122C75" w:rsidRDefault="00122C75" w:rsidP="00540B2E">
      <w:pPr>
        <w:pStyle w:val="ListParagraph"/>
        <w:numPr>
          <w:ilvl w:val="1"/>
          <w:numId w:val="17"/>
        </w:numPr>
      </w:pPr>
      <w:r>
        <w:t xml:space="preserve">Binary dasymetric mapping: the main method to be </w:t>
      </w:r>
      <w:proofErr w:type="gramStart"/>
      <w:r>
        <w:t>used</w:t>
      </w:r>
      <w:proofErr w:type="gramEnd"/>
    </w:p>
    <w:p w14:paraId="4EE9859D" w14:textId="576EA4CC" w:rsidR="009C2206" w:rsidRDefault="009C2206" w:rsidP="00540B2E">
      <w:pPr>
        <w:pStyle w:val="ListParagraph"/>
        <w:numPr>
          <w:ilvl w:val="1"/>
          <w:numId w:val="17"/>
        </w:numPr>
      </w:pPr>
      <w:r>
        <w:t>Considerations: MAUP, etc.</w:t>
      </w:r>
    </w:p>
    <w:p w14:paraId="0B72A4D6" w14:textId="55AA743C" w:rsidR="001E672F" w:rsidRDefault="001E672F" w:rsidP="001E672F">
      <w:pPr>
        <w:pStyle w:val="ListParagraph"/>
        <w:numPr>
          <w:ilvl w:val="0"/>
          <w:numId w:val="17"/>
        </w:numPr>
      </w:pPr>
      <w:r>
        <w:t xml:space="preserve">Scaling Geocomputation </w:t>
      </w:r>
      <w:r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557202E4" w:rsidR="001E672F" w:rsidRDefault="001E672F" w:rsidP="001E672F">
      <w:pPr>
        <w:pStyle w:val="ListParagraph"/>
        <w:numPr>
          <w:ilvl w:val="1"/>
          <w:numId w:val="17"/>
        </w:numPr>
      </w:pPr>
      <w:r>
        <w:lastRenderedPageBreak/>
        <w:t xml:space="preserve">Methods for overcoming </w:t>
      </w:r>
      <w:proofErr w:type="gramStart"/>
      <w:r>
        <w:t>this</w:t>
      </w:r>
      <w:proofErr w:type="gramEnd"/>
    </w:p>
    <w:p w14:paraId="708AD742" w14:textId="48F59F01" w:rsidR="003321F4" w:rsidRDefault="003321F4" w:rsidP="003321F4">
      <w:pPr>
        <w:pStyle w:val="Heading2"/>
      </w:pPr>
      <w:r>
        <w:t>Introduction</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5BC6BCD0" w14:textId="07298319" w:rsidR="00575B7B" w:rsidRDefault="00575B7B" w:rsidP="00DD2F1D">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particularly the distribution of agricultural population in a region will provide a more accurate estimate of </w:t>
      </w:r>
      <w:commentRangeStart w:id="0"/>
      <w:r w:rsidR="00D53B5B">
        <w:t xml:space="preserve">local </w:t>
      </w:r>
      <w:r>
        <w:t xml:space="preserve">demand on </w:t>
      </w:r>
      <w:r w:rsidR="00D53B5B">
        <w:t>water resources</w:t>
      </w:r>
      <w:commentRangeEnd w:id="0"/>
      <w:r w:rsidR="00D53B5B">
        <w:rPr>
          <w:rStyle w:val="CommentReference"/>
        </w:rPr>
        <w:commentReference w:id="0"/>
      </w:r>
      <w:r w:rsidR="00D53B5B">
        <w:t>.</w:t>
      </w:r>
    </w:p>
    <w:p w14:paraId="13F48495" w14:textId="1E8CFCCC" w:rsidR="00A61EFB" w:rsidRPr="00A61EFB" w:rsidRDefault="00A61EFB" w:rsidP="00DD2F1D">
      <w:pPr>
        <w:rPr>
          <w:color w:val="4472C4" w:themeColor="accent1"/>
        </w:rPr>
      </w:pPr>
      <w:r w:rsidRPr="00A61EFB">
        <w:rPr>
          <w:color w:val="4472C4" w:themeColor="accent1"/>
        </w:rPr>
        <w:t xml:space="preserve">Stretch out ‘scale’ component further; key aspect of </w:t>
      </w:r>
      <w:proofErr w:type="gramStart"/>
      <w:r w:rsidRPr="00A61EFB">
        <w:rPr>
          <w:color w:val="4472C4" w:themeColor="accent1"/>
        </w:rPr>
        <w:t>study</w:t>
      </w:r>
      <w:proofErr w:type="gramEnd"/>
      <w:r w:rsidRPr="00A61EFB">
        <w:rPr>
          <w:color w:val="4472C4" w:themeColor="accent1"/>
        </w:rPr>
        <w:t xml:space="preserve"> </w:t>
      </w:r>
    </w:p>
    <w:p w14:paraId="7CF6D7BD" w14:textId="3E6304D8" w:rsidR="00A61EFB" w:rsidRDefault="00A61EFB" w:rsidP="00DD2F1D">
      <w:r>
        <w:t>Text</w:t>
      </w:r>
    </w:p>
    <w:p w14:paraId="16E9CE98" w14:textId="77777777" w:rsidR="00424424" w:rsidRDefault="00424424" w:rsidP="00DD2F1D"/>
    <w:p w14:paraId="7AE76C22" w14:textId="106F496B" w:rsidR="00C61E47" w:rsidRDefault="00424424" w:rsidP="00C61E47">
      <w:pPr>
        <w:pStyle w:val="Heading2"/>
      </w:pPr>
      <w:r>
        <w:t>Literature Review</w:t>
      </w:r>
    </w:p>
    <w:p w14:paraId="43527B7E" w14:textId="229AC5EA" w:rsidR="00C61E47" w:rsidRDefault="00C61E47" w:rsidP="00C61E47">
      <w:pPr>
        <w:pStyle w:val="Heading3"/>
      </w:pPr>
      <w:r>
        <w:t>Preamble</w:t>
      </w:r>
    </w:p>
    <w:p w14:paraId="009AB8C7" w14:textId="05839798" w:rsidR="00C61E47" w:rsidRPr="00275FD9" w:rsidRDefault="00C61E47" w:rsidP="00C61E47">
      <w:pPr>
        <w:rPr>
          <w:color w:val="4472C4" w:themeColor="accent1"/>
        </w:rPr>
      </w:pPr>
      <w:r w:rsidRPr="00275FD9">
        <w:rPr>
          <w:color w:val="4472C4" w:themeColor="accent1"/>
        </w:rPr>
        <w:t xml:space="preserve">Introduction for the literature review; summarise the findings and topics that will be explored – ADP, India, and Spatial Disaggregation Methodology. </w:t>
      </w:r>
    </w:p>
    <w:p w14:paraId="1D6622A0" w14:textId="5C4AF6F8" w:rsidR="00275FD9" w:rsidRPr="00C61E47" w:rsidRDefault="00275FD9" w:rsidP="00C61E47">
      <w:r>
        <w:t>Text</w:t>
      </w:r>
    </w:p>
    <w:p w14:paraId="5E0FB698" w14:textId="123F0041" w:rsidR="00424424" w:rsidRDefault="00424424" w:rsidP="00424424">
      <w:pPr>
        <w:pStyle w:val="Heading3"/>
      </w:pPr>
      <w:r>
        <w:t>Agricultural Dependent Populations</w:t>
      </w:r>
    </w:p>
    <w:p w14:paraId="2048B070" w14:textId="79B04663" w:rsidR="00424424" w:rsidRPr="005C3AD8" w:rsidRDefault="005C3AD8" w:rsidP="00424424">
      <w:pPr>
        <w:rPr>
          <w:color w:val="4472C4" w:themeColor="accent1"/>
        </w:rPr>
      </w:pPr>
      <w:r w:rsidRPr="005C3AD8">
        <w:rPr>
          <w:color w:val="4472C4" w:themeColor="accent1"/>
        </w:rPr>
        <w:t xml:space="preserve">Topic: How is ADP addressed in the literature? </w:t>
      </w:r>
    </w:p>
    <w:p w14:paraId="30E7A218" w14:textId="14013252"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296D7E" w:rsidRPr="00296D7E">
        <w:rPr>
          <w:highlight w:val="yellow"/>
        </w:rPr>
        <w:t>XX</w:t>
      </w:r>
      <w:r w:rsidR="00296D7E">
        <w:t>% estimated to be dependent on agriculture for a living, predominantly in small farms (</w:t>
      </w:r>
      <w:r w:rsidR="00296D7E" w:rsidRPr="00296D7E">
        <w:rPr>
          <w:highlight w:val="yellow"/>
        </w:rPr>
        <w:t>REF</w:t>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E100F3">
        <w:instrText xml:space="preserve"> ADDIN ZOTERO_ITEM CSL_CITATION {"citationID":"J44qpc0d","properties":{"formattedCitation":"(Anand,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E100F3">
        <w:fldChar w:fldCharType="separate"/>
      </w:r>
      <w:r w:rsidR="00E100F3" w:rsidRPr="00E100F3">
        <w:rPr>
          <w:rFonts w:ascii="Arial" w:hAnsi="Arial" w:cs="Arial"/>
        </w:rPr>
        <w:t>(Anand, Kakumanu and Amarasinghe, 2019)</w:t>
      </w:r>
      <w:r w:rsidR="00E100F3">
        <w:fldChar w:fldCharType="end"/>
      </w:r>
      <w:r w:rsidR="00296D7E">
        <w:t xml:space="preserve">. </w:t>
      </w:r>
    </w:p>
    <w:p w14:paraId="285FCCB8" w14:textId="77EC87E1" w:rsidR="00173E70" w:rsidRDefault="00173E70" w:rsidP="00424424">
      <w:r>
        <w:t>To support effective, context-specific development, it is necessary to understand the spatial distribution of this agricultural population. Specifically in the case of India, tanks …</w:t>
      </w:r>
    </w:p>
    <w:p w14:paraId="547F73F6" w14:textId="482CE312" w:rsidR="005C3AD8" w:rsidRPr="0041269A" w:rsidRDefault="005C3AD8" w:rsidP="00424424">
      <w:pPr>
        <w:rPr>
          <w:color w:val="4472C4" w:themeColor="accent1"/>
        </w:rPr>
      </w:pPr>
      <w:r w:rsidRPr="0041269A">
        <w:rPr>
          <w:color w:val="4472C4" w:themeColor="accent1"/>
        </w:rPr>
        <w:lastRenderedPageBreak/>
        <w:t>Topic: LULC for estimating agricultural versus urban/rural land</w:t>
      </w:r>
    </w:p>
    <w:p w14:paraId="59789204" w14:textId="015E2688" w:rsidR="007C27E8" w:rsidRPr="00BA2186" w:rsidRDefault="005C3AD8" w:rsidP="00424424">
      <w:pPr>
        <w:rPr>
          <w:i/>
          <w:iCs/>
        </w:rPr>
      </w:pPr>
      <w:r w:rsidRPr="00BA2186">
        <w:rPr>
          <w:i/>
          <w:iCs/>
        </w:rPr>
        <w:t>Use this paragraph to reflect on comments in from [which?] reading ab</w:t>
      </w:r>
      <w:r w:rsidR="0041269A" w:rsidRPr="00BA2186">
        <w:rPr>
          <w:i/>
          <w:iCs/>
        </w:rPr>
        <w:t>out balance between higher population density and masking out urban areas</w:t>
      </w:r>
      <w:r w:rsidR="007C27E8" w:rsidRPr="00BA2186">
        <w:rPr>
          <w:i/>
          <w:iCs/>
        </w:rPr>
        <w:t xml:space="preserve"> to ensure that estimates of ADP are not weighted towards the urban – need to fin reading. </w:t>
      </w:r>
    </w:p>
    <w:p w14:paraId="78203C74" w14:textId="0F11D0B8" w:rsidR="00C61E47" w:rsidRDefault="00C61E47" w:rsidP="00C61E47">
      <w:pPr>
        <w:pStyle w:val="Heading3"/>
      </w:pPr>
      <w:r>
        <w:t>Indian Context</w:t>
      </w:r>
    </w:p>
    <w:p w14:paraId="5165C8CD" w14:textId="2B6A7AA8" w:rsidR="00F6487B" w:rsidRPr="00FA17E0" w:rsidRDefault="00F6487B" w:rsidP="00C61E47">
      <w:pPr>
        <w:rPr>
          <w:color w:val="4472C4" w:themeColor="accent1"/>
        </w:rPr>
      </w:pPr>
      <w:r w:rsidRPr="005C3AD8">
        <w:rPr>
          <w:color w:val="4472C4" w:themeColor="accent1"/>
        </w:rPr>
        <w:t>Paragraph</w:t>
      </w:r>
      <w:r w:rsidRPr="00FA17E0">
        <w:rPr>
          <w:color w:val="4472C4" w:themeColor="accent1"/>
        </w:rPr>
        <w:t xml:space="preserve"> topic: Intro; What is the current situation in India for ADP? </w:t>
      </w:r>
    </w:p>
    <w:p w14:paraId="21261CE2" w14:textId="2027D6D6" w:rsidR="00C61E47" w:rsidRDefault="0066661B" w:rsidP="00C61E47">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by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p>
    <w:p w14:paraId="3ACD8DE3" w14:textId="3E175D4B" w:rsidR="00380D6D" w:rsidRPr="00FA17E0" w:rsidRDefault="00380D6D" w:rsidP="00C61E47">
      <w:pPr>
        <w:rPr>
          <w:color w:val="4472C4" w:themeColor="accent1"/>
        </w:rPr>
      </w:pPr>
      <w:r w:rsidRPr="00FA17E0">
        <w:rPr>
          <w:color w:val="4472C4" w:themeColor="accent1"/>
        </w:rPr>
        <w:t xml:space="preserve">Paragraph topic: Administrative formation. </w:t>
      </w:r>
    </w:p>
    <w:p w14:paraId="48A139C0" w14:textId="02F76628" w:rsidR="005C3AD8" w:rsidRDefault="00380D6D" w:rsidP="00C61E47">
      <w:r>
        <w:t>India is divided into 28 states and 8 union territories, each of which are further subdivided into districts and smaller administrative divisions</w:t>
      </w:r>
      <w:r w:rsidR="009C4229">
        <w:t xml:space="preserve">, variously termed tehsil, taluks, or mandal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t xml:space="preserve">. </w:t>
      </w:r>
      <w:r w:rsidR="005C3AD8">
        <w:t>Census data for most socioeconomic indicators</w:t>
      </w:r>
      <w:r w:rsidR="005C3AD8" w:rsidRPr="005C3AD8">
        <w:t xml:space="preserve"> </w:t>
      </w:r>
      <w:r w:rsidR="005C3AD8">
        <w:t xml:space="preserve">are published at the district level. </w:t>
      </w:r>
      <w:r w:rsidR="009C4229">
        <w:t xml:space="preserve">In census enumeration, </w:t>
      </w:r>
      <w:commentRangeStart w:id="1"/>
      <w:r w:rsidR="009C4229">
        <w:t xml:space="preserve">urban areas are divided into four classes </w:t>
      </w:r>
      <w:commentRangeEnd w:id="1"/>
      <w:r w:rsidR="00173E70">
        <w:rPr>
          <w:rStyle w:val="CommentReference"/>
        </w:rPr>
        <w:commentReference w:id="1"/>
      </w:r>
      <w:r w:rsidR="00BB065F">
        <w:t>– wards, outgrowths, statutory towns, and census towns</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p>
    <w:p w14:paraId="0EC65208" w14:textId="78BC446A" w:rsidR="00F6487B" w:rsidRPr="00FA17E0" w:rsidRDefault="00F6487B" w:rsidP="00C61E47">
      <w:pPr>
        <w:rPr>
          <w:color w:val="4472C4" w:themeColor="accent1"/>
        </w:rPr>
      </w:pPr>
      <w:r w:rsidRPr="00FA17E0">
        <w:rPr>
          <w:color w:val="4472C4" w:themeColor="accent1"/>
        </w:rPr>
        <w:t xml:space="preserve">Paragraph topic: census data – what is available? Opportunities/Limitations? </w:t>
      </w:r>
    </w:p>
    <w:p w14:paraId="5191C298" w14:textId="3B086EEC" w:rsidR="00F6487B" w:rsidRDefault="00F6487B" w:rsidP="00C61E47">
      <w:r>
        <w:t xml:space="preserve">The </w:t>
      </w:r>
      <w:r w:rsidR="00BB065F">
        <w:t>Indian census of population is conducted decennially, the last being</w:t>
      </w:r>
      <w:r>
        <w:t xml:space="preserve"> conducted in 2011</w:t>
      </w:r>
      <w:r w:rsidR="00BB065F">
        <w:t xml:space="preserve"> due to COVID delaying a planned census in 2021</w:t>
      </w:r>
      <w:r w:rsidR="00380D6D">
        <w:t>.</w:t>
      </w:r>
      <w:r w:rsidR="007C27E8">
        <w:t xml:space="preserve"> </w:t>
      </w:r>
      <w:commentRangeStart w:id="2"/>
      <w:r w:rsidR="007C27E8">
        <w:t>There have been considerable changes in population count and distribution in the time since this census, which must be considered when interpreting any analysis</w:t>
      </w:r>
      <w:commentRangeEnd w:id="2"/>
      <w:r w:rsidR="007C27E8">
        <w:rPr>
          <w:rStyle w:val="CommentReference"/>
        </w:rPr>
        <w:commentReference w:id="2"/>
      </w:r>
      <w:r w:rsidR="007C27E8">
        <w:t xml:space="preserve">. </w:t>
      </w:r>
    </w:p>
    <w:p w14:paraId="6B2D5823" w14:textId="18FF7503" w:rsidR="00C61E47" w:rsidRDefault="00C61E47" w:rsidP="00C61E47">
      <w:pPr>
        <w:pStyle w:val="Heading3"/>
      </w:pPr>
      <w:r>
        <w:t>Spatial Disaggregation</w:t>
      </w:r>
    </w:p>
    <w:p w14:paraId="5F64BFEA" w14:textId="4AF1DF86" w:rsidR="00FA17E0" w:rsidRPr="00FA17E0" w:rsidRDefault="00FA17E0" w:rsidP="00C61E47">
      <w:pPr>
        <w:rPr>
          <w:color w:val="4472C4" w:themeColor="accent1"/>
        </w:rPr>
      </w:pPr>
      <w:r w:rsidRPr="00FA17E0">
        <w:rPr>
          <w:color w:val="4472C4" w:themeColor="accent1"/>
        </w:rPr>
        <w:t xml:space="preserve">Paragraph topic: </w:t>
      </w:r>
      <w:r>
        <w:rPr>
          <w:color w:val="4472C4" w:themeColor="accent1"/>
        </w:rPr>
        <w:t>Define spatial disaggregation; Why is i</w:t>
      </w:r>
      <w:r w:rsidR="00275FD9">
        <w:rPr>
          <w:color w:val="4472C4" w:themeColor="accent1"/>
        </w:rPr>
        <w:t>t</w:t>
      </w:r>
      <w:r>
        <w:rPr>
          <w:color w:val="4472C4" w:themeColor="accent1"/>
        </w:rPr>
        <w:t xml:space="preserve"> important? </w:t>
      </w:r>
    </w:p>
    <w:p w14:paraId="68DD07B2" w14:textId="0B1A21C0"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80A2CB8" w14:textId="6AD90210" w:rsidR="00F92E1F" w:rsidRPr="00F92E1F" w:rsidRDefault="00F92E1F" w:rsidP="00C61E47">
      <w:pPr>
        <w:rPr>
          <w:color w:val="4472C4" w:themeColor="accent1"/>
        </w:rPr>
      </w:pPr>
      <w:r w:rsidRPr="00F92E1F">
        <w:rPr>
          <w:color w:val="4472C4" w:themeColor="accent1"/>
        </w:rPr>
        <w:t>Topic: World gridded population estimates; history, status</w:t>
      </w:r>
    </w:p>
    <w:p w14:paraId="2C745C1C" w14:textId="419B2546" w:rsidR="00F92E1F" w:rsidRDefault="00F544E9" w:rsidP="00C61E47">
      <w:r>
        <w:lastRenderedPageBreak/>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3317DB22" w:rsidR="00FB3596" w:rsidRDefault="00FB3596" w:rsidP="009C1B12">
            <w:pPr>
              <w:pStyle w:val="TableText"/>
            </w:pPr>
            <w:r>
              <w:t>100m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15E45ACB" w14:textId="77777777" w:rsidR="002E6AB9" w:rsidRPr="007F79C8" w:rsidRDefault="002E6AB9" w:rsidP="002E6AB9">
      <w:pPr>
        <w:rPr>
          <w:color w:val="4472C4" w:themeColor="accent1"/>
        </w:rPr>
      </w:pPr>
      <w:r w:rsidRPr="007F79C8">
        <w:rPr>
          <w:color w:val="4472C4" w:themeColor="accent1"/>
        </w:rPr>
        <w:t xml:space="preserve">Topic: Spatial disaggregation continued – dasymetric, pycnophylactic </w:t>
      </w:r>
    </w:p>
    <w:p w14:paraId="45B48F4A" w14:textId="59B5D631" w:rsidR="006C6C41" w:rsidRPr="006C6C41" w:rsidRDefault="002E6AB9" w:rsidP="006C6C41">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popular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w:t>
      </w:r>
      <w:r w:rsidR="003F1712">
        <w:lastRenderedPageBreak/>
        <w:t xml:space="preserve">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6B76BC">
        <w:t xml:space="preserve">Dasymetry is not limited to binary classification; multi-class dasymetric </w:t>
      </w:r>
      <w:proofErr w:type="gramStart"/>
      <w:r w:rsidR="006B76BC">
        <w:t>mapping</w:t>
      </w:r>
      <w:proofErr w:type="gramEnd"/>
      <w:r w:rsidR="006B76BC">
        <w:t xml:space="preserve"> </w:t>
      </w:r>
    </w:p>
    <w:p w14:paraId="00916707" w14:textId="6B64E12C" w:rsidR="008071D3" w:rsidRPr="008071D3" w:rsidRDefault="008071D3" w:rsidP="008071D3">
      <w:pPr>
        <w:rPr>
          <w:color w:val="4472C4" w:themeColor="accent1"/>
        </w:rPr>
      </w:pPr>
      <w:r w:rsidRPr="008071D3">
        <w:rPr>
          <w:color w:val="4472C4" w:themeColor="accent1"/>
        </w:rPr>
        <w:t>Topic: Spatial disaggregation methods</w:t>
      </w:r>
      <w:r>
        <w:rPr>
          <w:color w:val="4472C4" w:themeColor="accent1"/>
        </w:rPr>
        <w:t xml:space="preserve">: </w:t>
      </w:r>
      <w:proofErr w:type="gramStart"/>
      <w:r>
        <w:rPr>
          <w:color w:val="4472C4" w:themeColor="accent1"/>
        </w:rPr>
        <w:t>Top down</w:t>
      </w:r>
      <w:proofErr w:type="gramEnd"/>
      <w:r>
        <w:rPr>
          <w:color w:val="4472C4" w:themeColor="accent1"/>
        </w:rPr>
        <w:t xml:space="preserve"> vs Bottom up</w:t>
      </w:r>
    </w:p>
    <w:p w14:paraId="5F19EC76" w14:textId="3C61399D"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specific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4C6B16C3" w14:textId="53DF3064" w:rsidR="002E6AB9" w:rsidRPr="006F49BD" w:rsidRDefault="002E6AB9" w:rsidP="00C61E47">
      <w:pPr>
        <w:rPr>
          <w:color w:val="4472C4" w:themeColor="accent1"/>
        </w:rPr>
      </w:pPr>
      <w:r w:rsidRPr="006F49BD">
        <w:rPr>
          <w:color w:val="4472C4" w:themeColor="accent1"/>
        </w:rPr>
        <w:t xml:space="preserve">Topic: </w:t>
      </w:r>
      <w:r w:rsidR="00C10490">
        <w:rPr>
          <w:color w:val="4472C4" w:themeColor="accent1"/>
        </w:rPr>
        <w:t xml:space="preserve">Spatial disaggregation </w:t>
      </w:r>
      <w:r w:rsidR="00E119AB">
        <w:rPr>
          <w:color w:val="4472C4" w:themeColor="accent1"/>
        </w:rPr>
        <w:t xml:space="preserve">past population: additional </w:t>
      </w:r>
      <w:r w:rsidR="00C10490">
        <w:rPr>
          <w:color w:val="4472C4" w:themeColor="accent1"/>
        </w:rPr>
        <w:t>socioeconomic characteristics</w:t>
      </w:r>
    </w:p>
    <w:p w14:paraId="1DB7EE00" w14:textId="7B64CCA2"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The WorldPop research unit regularly produce national and regional gridded maps across health and social indicators, such as vaccination coverage (</w:t>
      </w:r>
      <w:r w:rsidR="008905B5" w:rsidRPr="00880D06">
        <w:rPr>
          <w:highlight w:val="yellow"/>
        </w:rPr>
        <w:t>REF</w:t>
      </w:r>
      <w:r w:rsidR="008905B5">
        <w:t xml:space="preserv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77FB667C" w14:textId="7CCEF5F6" w:rsidR="00D96ED1" w:rsidRPr="008905B5" w:rsidRDefault="00D96ED1" w:rsidP="00C61E47">
      <w:r>
        <w:t>[</w:t>
      </w:r>
      <w:r w:rsidRPr="00D96ED1">
        <w:rPr>
          <w:highlight w:val="yellow"/>
        </w:rPr>
        <w:t>How should I argue against using the method in Monteiro 2018</w:t>
      </w:r>
      <w:r w:rsidR="00117DF6">
        <w:rPr>
          <w:highlight w:val="yellow"/>
        </w:rPr>
        <w:t>, and instead using the simplified population clip proposed by FL/SA</w:t>
      </w:r>
      <w:r w:rsidRPr="00D96ED1">
        <w:rPr>
          <w:highlight w:val="yellow"/>
        </w:rPr>
        <w:t>?</w:t>
      </w:r>
      <w:r>
        <w:t>]</w:t>
      </w:r>
    </w:p>
    <w:p w14:paraId="67F3B3A4" w14:textId="2FAAE7FA" w:rsidR="00102B31" w:rsidRPr="00102B31" w:rsidRDefault="00102B31" w:rsidP="00C61E47">
      <w:pPr>
        <w:rPr>
          <w:color w:val="4472C4" w:themeColor="accent1"/>
        </w:rPr>
      </w:pPr>
      <w:r w:rsidRPr="00102B31">
        <w:rPr>
          <w:color w:val="4472C4" w:themeColor="accent1"/>
        </w:rPr>
        <w:t>Topic: Considerations – MAUP; resolution used</w:t>
      </w:r>
      <w:r>
        <w:rPr>
          <w:color w:val="4472C4" w:themeColor="accent1"/>
        </w:rPr>
        <w:t>; temporal differences between census and ancillary data</w:t>
      </w:r>
    </w:p>
    <w:p w14:paraId="5654E2AE" w14:textId="5830AD5D" w:rsidR="00102B31" w:rsidRDefault="00A67888" w:rsidP="00C61E47">
      <w:r>
        <w:t>Like in most aspects of spatial analysis, the spatial resolution or scale used in a spatial disaggregation can markedly influence the outcomes and interpretation. This challenge is defined as the modifiable areal unit problem (MAUP)</w:t>
      </w:r>
      <w:r w:rsidR="006D2271">
        <w:t xml:space="preserve">, where the same analysis performed on </w:t>
      </w:r>
      <w:r w:rsidR="006D2271">
        <w:lastRenderedPageBreak/>
        <w:t xml:space="preserve">data aggregated at different levels or in different zones will produce different results </w:t>
      </w:r>
      <w:r w:rsidR="006D2271">
        <w:fldChar w:fldCharType="begin"/>
      </w:r>
      <w:r w:rsidR="006D2271">
        <w:instrText xml:space="preserve"> ADDIN ZOTERO_ITEM CSL_CITATION {"citationID":"Mgayua1Z","properties":{"formattedCitation":"(Wong, 2009)","plainCitation":"(Wong, 2009)","noteIndex":0},"citationItems":[{"id":5933,"uris":["http://zotero.org/users/10222370/items/CPPVPLRJ"],"itemData":{"id":5933,"type":"chapter","abstract":"Coined by geographers during the 1970s, the modifiable areal unit problem (MAUP) is one of the most stubborn problems in spatial analysis when spatially aggregated data are used. Data tabulated for different spatial scale levels or according to different zonal systems for the same region will not provide consistent analysis results. Since spatially aggregated data are often used not just in geographical research, but also in other social science and physical science disciplines, the MAUP has broad impacts. The MAUP effects are functions of the underlying spatial distribution of the data, and their spatial relationships to the spatial scale hierarchy and zonal systems. Several general approaches have been suggested to handle the MAUP. They include simply acknowledging its presence and possibly conducting multiscale and multizonal systems analyses to show the range of possible results. The other extreme is to develop scale-independent or insensitive analytical techniques, but it has little success. One potential direction is to develop a general framework to address the underlying processes of the MAUP. Based upon this framework, specific solutions may be developed.","container-title":"International Encyclopedia of Human Geography","event-place":"Oxford","ISBN":"978-0-08-044910-4","language":"en","note":"DOI: 10.1016/B978-008044910-4.00475-2","page":"169-174","publisher":"Elsevier","publisher-place":"Oxford","source":"ScienceDirect","title":"Modifiable Areal Unit Problem","URL":"https://www.sciencedirect.com/science/article/pii/B9780080449104004752","author":[{"family":"Wong","given":"D. W."}],"editor":[{"family":"Kitchin","given":"Rob"},{"family":"Thrift","given":"Nigel"}],"accessed":{"date-parts":[["2023",5,31]]},"issued":{"date-parts":[["2009",1,1]]},"citation-key":"wongModifiableArealUnit2009"}}],"schema":"https://github.com/citation-style-language/schema/raw/master/csl-citation.json"} </w:instrText>
      </w:r>
      <w:r w:rsidR="006D2271">
        <w:fldChar w:fldCharType="separate"/>
      </w:r>
      <w:r w:rsidR="006D2271" w:rsidRPr="006D2271">
        <w:rPr>
          <w:rFonts w:ascii="Arial" w:hAnsi="Arial" w:cs="Arial"/>
        </w:rPr>
        <w:t>(Wong, 2009)</w:t>
      </w:r>
      <w:r w:rsidR="006D2271">
        <w:fldChar w:fldCharType="end"/>
      </w:r>
      <w:r w:rsidR="006D2271">
        <w:t xml:space="preserve">. </w:t>
      </w:r>
    </w:p>
    <w:p w14:paraId="03F3A04B" w14:textId="77777777" w:rsidR="00102B31" w:rsidRPr="00C61E47" w:rsidRDefault="00102B31" w:rsidP="00C61E47"/>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5B537546" w14:textId="77777777" w:rsidR="00693132" w:rsidRPr="00693132" w:rsidRDefault="009225AB" w:rsidP="00693132">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693132" w:rsidRPr="00693132">
        <w:rPr>
          <w:rFonts w:ascii="Arial" w:hAnsi="Arial" w:cs="Arial"/>
        </w:rPr>
        <w:t xml:space="preserve">Anand, S., </w:t>
      </w:r>
      <w:proofErr w:type="spellStart"/>
      <w:r w:rsidR="00693132" w:rsidRPr="00693132">
        <w:rPr>
          <w:rFonts w:ascii="Arial" w:hAnsi="Arial" w:cs="Arial"/>
        </w:rPr>
        <w:t>Kakumanu</w:t>
      </w:r>
      <w:proofErr w:type="spellEnd"/>
      <w:r w:rsidR="00693132" w:rsidRPr="00693132">
        <w:rPr>
          <w:rFonts w:ascii="Arial" w:hAnsi="Arial" w:cs="Arial"/>
        </w:rPr>
        <w:t xml:space="preserve">, K.R. and </w:t>
      </w:r>
      <w:proofErr w:type="spellStart"/>
      <w:r w:rsidR="00693132" w:rsidRPr="00693132">
        <w:rPr>
          <w:rFonts w:ascii="Arial" w:hAnsi="Arial" w:cs="Arial"/>
        </w:rPr>
        <w:t>Amarasinghe</w:t>
      </w:r>
      <w:proofErr w:type="spellEnd"/>
      <w:r w:rsidR="00693132" w:rsidRPr="00693132">
        <w:rPr>
          <w:rFonts w:ascii="Arial" w:hAnsi="Arial" w:cs="Arial"/>
        </w:rPr>
        <w:t xml:space="preserve">, U.A. (2019) ‘Use of Remote Sensing and GIS for Identifying Tanks and Rehabilitation Benefits to the Rural Areas’, </w:t>
      </w:r>
      <w:r w:rsidR="00693132" w:rsidRPr="00693132">
        <w:rPr>
          <w:rFonts w:ascii="Arial" w:hAnsi="Arial" w:cs="Arial"/>
          <w:i/>
          <w:iCs/>
        </w:rPr>
        <w:t>Journal of Rural Development</w:t>
      </w:r>
      <w:r w:rsidR="00693132" w:rsidRPr="00693132">
        <w:rPr>
          <w:rFonts w:ascii="Arial" w:hAnsi="Arial" w:cs="Arial"/>
        </w:rPr>
        <w:t>, 38(1), p. 55. Available at: https://doi.org/10.25175/jrd/2019/v38/i1/121801.</w:t>
      </w:r>
    </w:p>
    <w:p w14:paraId="2BC6E0D0" w14:textId="77777777" w:rsidR="00693132" w:rsidRPr="00693132" w:rsidRDefault="00693132" w:rsidP="00693132">
      <w:pPr>
        <w:pStyle w:val="Bibliography"/>
        <w:rPr>
          <w:rFonts w:ascii="Arial" w:hAnsi="Arial" w:cs="Arial"/>
        </w:rPr>
      </w:pPr>
      <w:r w:rsidRPr="00693132">
        <w:rPr>
          <w:rFonts w:ascii="Arial" w:hAnsi="Arial" w:cs="Arial"/>
        </w:rPr>
        <w:t xml:space="preserve">Balk, D. </w:t>
      </w:r>
      <w:r w:rsidRPr="00693132">
        <w:rPr>
          <w:rFonts w:ascii="Arial" w:hAnsi="Arial" w:cs="Arial"/>
          <w:i/>
          <w:iCs/>
        </w:rPr>
        <w:t>et al.</w:t>
      </w:r>
      <w:r w:rsidRPr="00693132">
        <w:rPr>
          <w:rFonts w:ascii="Arial" w:hAnsi="Arial" w:cs="Arial"/>
        </w:rPr>
        <w:t xml:space="preserve"> (2019) ‘Urbanization in India: Population and Urban Classification Grids for 2011’, </w:t>
      </w:r>
      <w:r w:rsidRPr="00693132">
        <w:rPr>
          <w:rFonts w:ascii="Arial" w:hAnsi="Arial" w:cs="Arial"/>
          <w:i/>
          <w:iCs/>
        </w:rPr>
        <w:t>Data</w:t>
      </w:r>
      <w:r w:rsidRPr="00693132">
        <w:rPr>
          <w:rFonts w:ascii="Arial" w:hAnsi="Arial" w:cs="Arial"/>
        </w:rPr>
        <w:t>, 4(1), p. 35. Available at: https://doi.org/10.3390/data4010035.</w:t>
      </w:r>
    </w:p>
    <w:p w14:paraId="07AB5200" w14:textId="77777777" w:rsidR="00693132" w:rsidRPr="00693132" w:rsidRDefault="00693132" w:rsidP="00693132">
      <w:pPr>
        <w:pStyle w:val="Bibliography"/>
        <w:rPr>
          <w:rFonts w:ascii="Arial" w:hAnsi="Arial" w:cs="Arial"/>
        </w:rPr>
      </w:pPr>
      <w:r w:rsidRPr="00693132">
        <w:rPr>
          <w:rFonts w:ascii="Arial" w:hAnsi="Arial" w:cs="Arial"/>
        </w:rPr>
        <w:t xml:space="preserve">Deichmann, U. (1996) </w:t>
      </w:r>
      <w:r w:rsidRPr="00693132">
        <w:rPr>
          <w:rFonts w:ascii="Arial" w:hAnsi="Arial" w:cs="Arial"/>
          <w:i/>
          <w:iCs/>
        </w:rPr>
        <w:t xml:space="preserve">A Review of Spatial Population Database Design and </w:t>
      </w:r>
      <w:proofErr w:type="spellStart"/>
      <w:r w:rsidRPr="00693132">
        <w:rPr>
          <w:rFonts w:ascii="Arial" w:hAnsi="Arial" w:cs="Arial"/>
          <w:i/>
          <w:iCs/>
        </w:rPr>
        <w:t>Modeling</w:t>
      </w:r>
      <w:proofErr w:type="spellEnd"/>
      <w:r w:rsidRPr="00693132">
        <w:rPr>
          <w:rFonts w:ascii="Arial" w:hAnsi="Arial" w:cs="Arial"/>
        </w:rPr>
        <w:t>. Santa Barbara, CA: National Centre for Geographic Information and Analysis. Available at: https://escholarship.org/uc/item/6g190671 (Accessed: 28 February 2023).</w:t>
      </w:r>
    </w:p>
    <w:p w14:paraId="52757396" w14:textId="77777777" w:rsidR="00693132" w:rsidRPr="00693132" w:rsidRDefault="00693132" w:rsidP="00693132">
      <w:pPr>
        <w:pStyle w:val="Bibliography"/>
        <w:rPr>
          <w:rFonts w:ascii="Arial" w:hAnsi="Arial" w:cs="Arial"/>
        </w:rPr>
      </w:pPr>
      <w:r w:rsidRPr="00693132">
        <w:rPr>
          <w:rFonts w:ascii="Arial" w:hAnsi="Arial" w:cs="Arial"/>
        </w:rPr>
        <w:t xml:space="preserve">Eicher, C.L. and Brewer, C.A. (2001) ‘Dasymetric Mapping and Areal Interpolation: Implementation and Evaluation’, </w:t>
      </w:r>
      <w:r w:rsidRPr="00693132">
        <w:rPr>
          <w:rFonts w:ascii="Arial" w:hAnsi="Arial" w:cs="Arial"/>
          <w:i/>
          <w:iCs/>
        </w:rPr>
        <w:t>Cartography and Geographic Information Science</w:t>
      </w:r>
      <w:r w:rsidRPr="00693132">
        <w:rPr>
          <w:rFonts w:ascii="Arial" w:hAnsi="Arial" w:cs="Arial"/>
        </w:rPr>
        <w:t>, 28(2), pp. 125–138. Available at: https://doi.org/10.1559/152304001782173727.</w:t>
      </w:r>
    </w:p>
    <w:p w14:paraId="7EE0140F" w14:textId="77777777" w:rsidR="00693132" w:rsidRPr="00693132" w:rsidRDefault="00693132" w:rsidP="00693132">
      <w:pPr>
        <w:pStyle w:val="Bibliography"/>
        <w:rPr>
          <w:rFonts w:ascii="Arial" w:hAnsi="Arial" w:cs="Arial"/>
        </w:rPr>
      </w:pPr>
      <w:r w:rsidRPr="00693132">
        <w:rPr>
          <w:rFonts w:ascii="Arial" w:hAnsi="Arial" w:cs="Arial"/>
        </w:rPr>
        <w:t xml:space="preserve">Government of India (2012) </w:t>
      </w:r>
      <w:r w:rsidRPr="00693132">
        <w:rPr>
          <w:rFonts w:ascii="Arial" w:hAnsi="Arial" w:cs="Arial"/>
          <w:i/>
          <w:iCs/>
        </w:rPr>
        <w:t>Census of India 2011: Administrative Atlas</w:t>
      </w:r>
      <w:r w:rsidRPr="00693132">
        <w:rPr>
          <w:rFonts w:ascii="Arial" w:hAnsi="Arial" w:cs="Arial"/>
        </w:rPr>
        <w:t>. Delhi, India: Office of the Registrar General and Census Commissioner. Available at: https://censusindia.gov.in/census.website/data/atlas# (Accessed: 1 June 2023).</w:t>
      </w:r>
    </w:p>
    <w:p w14:paraId="756E8A18" w14:textId="77777777" w:rsidR="00693132" w:rsidRPr="00693132" w:rsidRDefault="00693132" w:rsidP="00693132">
      <w:pPr>
        <w:pStyle w:val="Bibliography"/>
        <w:rPr>
          <w:rFonts w:ascii="Arial" w:hAnsi="Arial" w:cs="Arial"/>
        </w:rPr>
      </w:pPr>
      <w:proofErr w:type="spellStart"/>
      <w:r w:rsidRPr="00693132">
        <w:rPr>
          <w:rFonts w:ascii="Arial" w:hAnsi="Arial" w:cs="Arial"/>
        </w:rPr>
        <w:t>Kondylis</w:t>
      </w:r>
      <w:proofErr w:type="spellEnd"/>
      <w:r w:rsidRPr="00693132">
        <w:rPr>
          <w:rFonts w:ascii="Arial" w:hAnsi="Arial" w:cs="Arial"/>
        </w:rPr>
        <w:t xml:space="preserve">, F. </w:t>
      </w:r>
      <w:r w:rsidRPr="00693132">
        <w:rPr>
          <w:rFonts w:ascii="Arial" w:hAnsi="Arial" w:cs="Arial"/>
          <w:i/>
          <w:iCs/>
        </w:rPr>
        <w:t>et al.</w:t>
      </w:r>
      <w:r w:rsidRPr="00693132">
        <w:rPr>
          <w:rFonts w:ascii="Arial" w:hAnsi="Arial" w:cs="Arial"/>
        </w:rPr>
        <w:t xml:space="preserve"> (2023) </w:t>
      </w:r>
      <w:r w:rsidRPr="00693132">
        <w:rPr>
          <w:rFonts w:ascii="Arial" w:hAnsi="Arial" w:cs="Arial"/>
          <w:i/>
          <w:iCs/>
        </w:rPr>
        <w:t>Agriculture</w:t>
      </w:r>
      <w:r w:rsidRPr="00693132">
        <w:rPr>
          <w:rFonts w:ascii="Arial" w:hAnsi="Arial" w:cs="Arial"/>
        </w:rPr>
        <w:t xml:space="preserve">, </w:t>
      </w:r>
      <w:r w:rsidRPr="00693132">
        <w:rPr>
          <w:rFonts w:ascii="Arial" w:hAnsi="Arial" w:cs="Arial"/>
          <w:i/>
          <w:iCs/>
        </w:rPr>
        <w:t>World Bank: Development Impact Evaluation (DIME)</w:t>
      </w:r>
      <w:r w:rsidRPr="00693132">
        <w:rPr>
          <w:rFonts w:ascii="Arial" w:hAnsi="Arial" w:cs="Arial"/>
        </w:rPr>
        <w:t>. Available at: https://www.worldbank.org/en/research/dime/brief/agriculture (Accessed: 1 June 2023).</w:t>
      </w:r>
    </w:p>
    <w:p w14:paraId="2CB4A44B" w14:textId="77777777" w:rsidR="00693132" w:rsidRPr="00693132" w:rsidRDefault="00693132" w:rsidP="00693132">
      <w:pPr>
        <w:pStyle w:val="Bibliography"/>
        <w:rPr>
          <w:rFonts w:ascii="Arial" w:hAnsi="Arial" w:cs="Arial"/>
        </w:rPr>
      </w:pPr>
      <w:proofErr w:type="spellStart"/>
      <w:r w:rsidRPr="00693132">
        <w:rPr>
          <w:rFonts w:ascii="Arial" w:hAnsi="Arial" w:cs="Arial"/>
        </w:rPr>
        <w:t>Leyk</w:t>
      </w:r>
      <w:proofErr w:type="spellEnd"/>
      <w:r w:rsidRPr="00693132">
        <w:rPr>
          <w:rFonts w:ascii="Arial" w:hAnsi="Arial" w:cs="Arial"/>
        </w:rPr>
        <w:t xml:space="preserve">, S. </w:t>
      </w:r>
      <w:r w:rsidRPr="00693132">
        <w:rPr>
          <w:rFonts w:ascii="Arial" w:hAnsi="Arial" w:cs="Arial"/>
          <w:i/>
          <w:iCs/>
        </w:rPr>
        <w:t>et al.</w:t>
      </w:r>
      <w:r w:rsidRPr="00693132">
        <w:rPr>
          <w:rFonts w:ascii="Arial" w:hAnsi="Arial" w:cs="Arial"/>
        </w:rPr>
        <w:t xml:space="preserve"> (2019) ‘The spatial allocation of population: a review of large-scale gridded population data products and their fitness for use’, </w:t>
      </w:r>
      <w:r w:rsidRPr="00693132">
        <w:rPr>
          <w:rFonts w:ascii="Arial" w:hAnsi="Arial" w:cs="Arial"/>
          <w:i/>
          <w:iCs/>
        </w:rPr>
        <w:t>Earth System Science Data</w:t>
      </w:r>
      <w:r w:rsidRPr="00693132">
        <w:rPr>
          <w:rFonts w:ascii="Arial" w:hAnsi="Arial" w:cs="Arial"/>
        </w:rPr>
        <w:t>, 11(3), pp. 1385–1409. Available at: https://doi.org/10.5194/essd-11-1385-2019.</w:t>
      </w:r>
    </w:p>
    <w:p w14:paraId="290FA88A" w14:textId="77777777" w:rsidR="00693132" w:rsidRPr="00693132" w:rsidRDefault="00693132" w:rsidP="00693132">
      <w:pPr>
        <w:pStyle w:val="Bibliography"/>
        <w:rPr>
          <w:rFonts w:ascii="Arial" w:hAnsi="Arial" w:cs="Arial"/>
        </w:rPr>
      </w:pPr>
      <w:r w:rsidRPr="00693132">
        <w:rPr>
          <w:rFonts w:ascii="Arial" w:hAnsi="Arial" w:cs="Arial"/>
        </w:rPr>
        <w:t xml:space="preserve">Malone, B.P. </w:t>
      </w:r>
      <w:r w:rsidRPr="00693132">
        <w:rPr>
          <w:rFonts w:ascii="Arial" w:hAnsi="Arial" w:cs="Arial"/>
          <w:i/>
          <w:iCs/>
        </w:rPr>
        <w:t>et al.</w:t>
      </w:r>
      <w:r w:rsidRPr="00693132">
        <w:rPr>
          <w:rFonts w:ascii="Arial" w:hAnsi="Arial" w:cs="Arial"/>
        </w:rPr>
        <w:t xml:space="preserve"> (2012) ‘A general method for downscaling earth resource information’, </w:t>
      </w:r>
      <w:r w:rsidRPr="00693132">
        <w:rPr>
          <w:rFonts w:ascii="Arial" w:hAnsi="Arial" w:cs="Arial"/>
          <w:i/>
          <w:iCs/>
        </w:rPr>
        <w:t>Computers &amp; Geosciences</w:t>
      </w:r>
      <w:r w:rsidRPr="00693132">
        <w:rPr>
          <w:rFonts w:ascii="Arial" w:hAnsi="Arial" w:cs="Arial"/>
        </w:rPr>
        <w:t>, 41, pp. 119–125. Available at: https://doi.org/10.1016/j.cageo.2011.08.021.</w:t>
      </w:r>
    </w:p>
    <w:p w14:paraId="58C1810F" w14:textId="77777777" w:rsidR="00693132" w:rsidRPr="00693132" w:rsidRDefault="00693132" w:rsidP="00693132">
      <w:pPr>
        <w:pStyle w:val="Bibliography"/>
        <w:rPr>
          <w:rFonts w:ascii="Arial" w:hAnsi="Arial" w:cs="Arial"/>
        </w:rPr>
      </w:pPr>
      <w:r w:rsidRPr="00693132">
        <w:rPr>
          <w:rFonts w:ascii="Arial" w:hAnsi="Arial" w:cs="Arial"/>
        </w:rPr>
        <w:t xml:space="preserve">Monteiro, J., Martins, B. and Pires, J.M. (2018) ‘A hybrid approach for the spatial disaggregation of socio-economic indicators’, </w:t>
      </w:r>
      <w:r w:rsidRPr="00693132">
        <w:rPr>
          <w:rFonts w:ascii="Arial" w:hAnsi="Arial" w:cs="Arial"/>
          <w:i/>
          <w:iCs/>
        </w:rPr>
        <w:t>International Journal of Data Science and Analytics</w:t>
      </w:r>
      <w:r w:rsidRPr="00693132">
        <w:rPr>
          <w:rFonts w:ascii="Arial" w:hAnsi="Arial" w:cs="Arial"/>
        </w:rPr>
        <w:t>, 5(2), pp. 189–211. Available at: https://doi.org/10.1007/s41060-017-0080-z.</w:t>
      </w:r>
    </w:p>
    <w:p w14:paraId="12810EDE" w14:textId="77777777" w:rsidR="00693132" w:rsidRPr="00693132" w:rsidRDefault="00693132" w:rsidP="00693132">
      <w:pPr>
        <w:pStyle w:val="Bibliography"/>
        <w:rPr>
          <w:rFonts w:ascii="Arial" w:hAnsi="Arial" w:cs="Arial"/>
        </w:rPr>
      </w:pPr>
      <w:proofErr w:type="spellStart"/>
      <w:r w:rsidRPr="00693132">
        <w:rPr>
          <w:rFonts w:ascii="Arial" w:hAnsi="Arial" w:cs="Arial"/>
        </w:rPr>
        <w:t>Pezzulo</w:t>
      </w:r>
      <w:proofErr w:type="spellEnd"/>
      <w:r w:rsidRPr="00693132">
        <w:rPr>
          <w:rFonts w:ascii="Arial" w:hAnsi="Arial" w:cs="Arial"/>
        </w:rPr>
        <w:t xml:space="preserve">, C. </w:t>
      </w:r>
      <w:r w:rsidRPr="00693132">
        <w:rPr>
          <w:rFonts w:ascii="Arial" w:hAnsi="Arial" w:cs="Arial"/>
          <w:i/>
          <w:iCs/>
        </w:rPr>
        <w:t>et al.</w:t>
      </w:r>
      <w:r w:rsidRPr="00693132">
        <w:rPr>
          <w:rFonts w:ascii="Arial" w:hAnsi="Arial" w:cs="Arial"/>
        </w:rPr>
        <w:t xml:space="preserve"> (2023) ‘A subnational reproductive, maternal, </w:t>
      </w:r>
      <w:proofErr w:type="spellStart"/>
      <w:r w:rsidRPr="00693132">
        <w:rPr>
          <w:rFonts w:ascii="Arial" w:hAnsi="Arial" w:cs="Arial"/>
        </w:rPr>
        <w:t>newborn</w:t>
      </w:r>
      <w:proofErr w:type="spellEnd"/>
      <w:r w:rsidRPr="00693132">
        <w:rPr>
          <w:rFonts w:ascii="Arial" w:hAnsi="Arial" w:cs="Arial"/>
        </w:rPr>
        <w:t xml:space="preserve">, child, and adolescent health and development atlas of India’, </w:t>
      </w:r>
      <w:r w:rsidRPr="00693132">
        <w:rPr>
          <w:rFonts w:ascii="Arial" w:hAnsi="Arial" w:cs="Arial"/>
          <w:i/>
          <w:iCs/>
        </w:rPr>
        <w:t>Scientific Data</w:t>
      </w:r>
      <w:r w:rsidRPr="00693132">
        <w:rPr>
          <w:rFonts w:ascii="Arial" w:hAnsi="Arial" w:cs="Arial"/>
        </w:rPr>
        <w:t>, 10(1), p. 86. Available at: https://doi.org/10.1038/s41597-023-01961-2.</w:t>
      </w:r>
    </w:p>
    <w:p w14:paraId="7C241C22" w14:textId="77777777" w:rsidR="00693132" w:rsidRPr="00693132" w:rsidRDefault="00693132" w:rsidP="00693132">
      <w:pPr>
        <w:pStyle w:val="Bibliography"/>
        <w:rPr>
          <w:rFonts w:ascii="Arial" w:hAnsi="Arial" w:cs="Arial"/>
        </w:rPr>
      </w:pPr>
      <w:proofErr w:type="spellStart"/>
      <w:r w:rsidRPr="00693132">
        <w:rPr>
          <w:rFonts w:ascii="Arial" w:hAnsi="Arial" w:cs="Arial"/>
        </w:rPr>
        <w:t>Qiu</w:t>
      </w:r>
      <w:proofErr w:type="spellEnd"/>
      <w:r w:rsidRPr="00693132">
        <w:rPr>
          <w:rFonts w:ascii="Arial" w:hAnsi="Arial" w:cs="Arial"/>
        </w:rPr>
        <w:t xml:space="preserve">, Y. </w:t>
      </w:r>
      <w:r w:rsidRPr="00693132">
        <w:rPr>
          <w:rFonts w:ascii="Arial" w:hAnsi="Arial" w:cs="Arial"/>
          <w:i/>
          <w:iCs/>
        </w:rPr>
        <w:t>et al.</w:t>
      </w:r>
      <w:r w:rsidRPr="00693132">
        <w:rPr>
          <w:rFonts w:ascii="Arial" w:hAnsi="Arial" w:cs="Arial"/>
        </w:rPr>
        <w:t xml:space="preserve"> (2022) ‘Disaggregating population data for assessing progress of SDGs: methods and applications’, </w:t>
      </w:r>
      <w:r w:rsidRPr="00693132">
        <w:rPr>
          <w:rFonts w:ascii="Arial" w:hAnsi="Arial" w:cs="Arial"/>
          <w:i/>
          <w:iCs/>
        </w:rPr>
        <w:t>International Journal of Digital Earth</w:t>
      </w:r>
      <w:r w:rsidRPr="00693132">
        <w:rPr>
          <w:rFonts w:ascii="Arial" w:hAnsi="Arial" w:cs="Arial"/>
        </w:rPr>
        <w:t>, 15(1), pp. 2–29. Available at: https://doi.org/10.1080/17538947.2021.2013553.</w:t>
      </w:r>
    </w:p>
    <w:p w14:paraId="10583B1E" w14:textId="77777777" w:rsidR="00693132" w:rsidRPr="00693132" w:rsidRDefault="00693132" w:rsidP="00693132">
      <w:pPr>
        <w:pStyle w:val="Bibliography"/>
        <w:rPr>
          <w:rFonts w:ascii="Arial" w:hAnsi="Arial" w:cs="Arial"/>
        </w:rPr>
      </w:pPr>
      <w:r w:rsidRPr="00693132">
        <w:rPr>
          <w:rFonts w:ascii="Arial" w:hAnsi="Arial" w:cs="Arial"/>
        </w:rPr>
        <w:t xml:space="preserve">Schneiderbauer, S. and Ehrlich, D. (2005) ‘Population Density Estimations for Disaster Management: Case Study Rural Zimbabwe’, in P. van </w:t>
      </w:r>
      <w:proofErr w:type="spellStart"/>
      <w:r w:rsidRPr="00693132">
        <w:rPr>
          <w:rFonts w:ascii="Arial" w:hAnsi="Arial" w:cs="Arial"/>
        </w:rPr>
        <w:t>Oosterom</w:t>
      </w:r>
      <w:proofErr w:type="spellEnd"/>
      <w:r w:rsidRPr="00693132">
        <w:rPr>
          <w:rFonts w:ascii="Arial" w:hAnsi="Arial" w:cs="Arial"/>
        </w:rPr>
        <w:t xml:space="preserve">, S. </w:t>
      </w:r>
      <w:proofErr w:type="spellStart"/>
      <w:r w:rsidRPr="00693132">
        <w:rPr>
          <w:rFonts w:ascii="Arial" w:hAnsi="Arial" w:cs="Arial"/>
        </w:rPr>
        <w:t>Zlatanova</w:t>
      </w:r>
      <w:proofErr w:type="spellEnd"/>
      <w:r w:rsidRPr="00693132">
        <w:rPr>
          <w:rFonts w:ascii="Arial" w:hAnsi="Arial" w:cs="Arial"/>
        </w:rPr>
        <w:t xml:space="preserve">, and E.M. </w:t>
      </w:r>
      <w:proofErr w:type="spellStart"/>
      <w:r w:rsidRPr="00693132">
        <w:rPr>
          <w:rFonts w:ascii="Arial" w:hAnsi="Arial" w:cs="Arial"/>
        </w:rPr>
        <w:t>Fendel</w:t>
      </w:r>
      <w:proofErr w:type="spellEnd"/>
      <w:r w:rsidRPr="00693132">
        <w:rPr>
          <w:rFonts w:ascii="Arial" w:hAnsi="Arial" w:cs="Arial"/>
        </w:rPr>
        <w:t xml:space="preserve"> (eds) </w:t>
      </w:r>
      <w:r w:rsidRPr="00693132">
        <w:rPr>
          <w:rFonts w:ascii="Arial" w:hAnsi="Arial" w:cs="Arial"/>
          <w:i/>
          <w:iCs/>
        </w:rPr>
        <w:t>Geo-information for Disaster Management</w:t>
      </w:r>
      <w:r w:rsidRPr="00693132">
        <w:rPr>
          <w:rFonts w:ascii="Arial" w:hAnsi="Arial" w:cs="Arial"/>
        </w:rPr>
        <w:t>. Berlin, Heidelberg: Springer, pp. 901–921. Available at: https://doi.org/10.1007/3-540-27468-5_64.</w:t>
      </w:r>
    </w:p>
    <w:p w14:paraId="23E09DA1" w14:textId="77777777" w:rsidR="00693132" w:rsidRPr="00693132" w:rsidRDefault="00693132" w:rsidP="00693132">
      <w:pPr>
        <w:pStyle w:val="Bibliography"/>
        <w:rPr>
          <w:rFonts w:ascii="Arial" w:hAnsi="Arial" w:cs="Arial"/>
        </w:rPr>
      </w:pPr>
      <w:proofErr w:type="spellStart"/>
      <w:r w:rsidRPr="00693132">
        <w:rPr>
          <w:rFonts w:ascii="Arial" w:hAnsi="Arial" w:cs="Arial"/>
        </w:rPr>
        <w:t>Szarka</w:t>
      </w:r>
      <w:proofErr w:type="spellEnd"/>
      <w:r w:rsidRPr="00693132">
        <w:rPr>
          <w:rFonts w:ascii="Arial" w:hAnsi="Arial" w:cs="Arial"/>
        </w:rPr>
        <w:t xml:space="preserve">, N. and </w:t>
      </w:r>
      <w:proofErr w:type="spellStart"/>
      <w:r w:rsidRPr="00693132">
        <w:rPr>
          <w:rFonts w:ascii="Arial" w:hAnsi="Arial" w:cs="Arial"/>
        </w:rPr>
        <w:t>Biljecki</w:t>
      </w:r>
      <w:proofErr w:type="spellEnd"/>
      <w:r w:rsidRPr="00693132">
        <w:rPr>
          <w:rFonts w:ascii="Arial" w:hAnsi="Arial" w:cs="Arial"/>
        </w:rPr>
        <w:t xml:space="preserve">, F. (2022) ‘Population estimation beyond counts—Inferring demographic characteristics’, </w:t>
      </w:r>
      <w:r w:rsidRPr="00693132">
        <w:rPr>
          <w:rFonts w:ascii="Arial" w:hAnsi="Arial" w:cs="Arial"/>
          <w:i/>
          <w:iCs/>
        </w:rPr>
        <w:t>PLOS ONE</w:t>
      </w:r>
      <w:r w:rsidRPr="00693132">
        <w:rPr>
          <w:rFonts w:ascii="Arial" w:hAnsi="Arial" w:cs="Arial"/>
        </w:rPr>
        <w:t>, 17(4), p. e0266484. Available at: https://doi.org/10.1371/journal.pone.0266484.</w:t>
      </w:r>
    </w:p>
    <w:p w14:paraId="7B0BF803" w14:textId="77777777" w:rsidR="00693132" w:rsidRPr="00693132" w:rsidRDefault="00693132" w:rsidP="00693132">
      <w:pPr>
        <w:pStyle w:val="Bibliography"/>
        <w:rPr>
          <w:rFonts w:ascii="Arial" w:hAnsi="Arial" w:cs="Arial"/>
        </w:rPr>
      </w:pPr>
      <w:r w:rsidRPr="00693132">
        <w:rPr>
          <w:rFonts w:ascii="Arial" w:hAnsi="Arial" w:cs="Arial"/>
        </w:rPr>
        <w:lastRenderedPageBreak/>
        <w:t xml:space="preserve">Tatem, A.J. (2022) ‘Small area population denominators for improved disease surveillance and response’, </w:t>
      </w:r>
      <w:r w:rsidRPr="00693132">
        <w:rPr>
          <w:rFonts w:ascii="Arial" w:hAnsi="Arial" w:cs="Arial"/>
          <w:i/>
          <w:iCs/>
        </w:rPr>
        <w:t>Epidemics</w:t>
      </w:r>
      <w:r w:rsidRPr="00693132">
        <w:rPr>
          <w:rFonts w:ascii="Arial" w:hAnsi="Arial" w:cs="Arial"/>
        </w:rPr>
        <w:t>, 40, p. 100597. Available at: https://doi.org/10.1016/j.epidem.2022.100597.</w:t>
      </w:r>
    </w:p>
    <w:p w14:paraId="153672B8" w14:textId="77777777" w:rsidR="00693132" w:rsidRPr="00693132" w:rsidRDefault="00693132" w:rsidP="00693132">
      <w:pPr>
        <w:pStyle w:val="Bibliography"/>
        <w:rPr>
          <w:rFonts w:ascii="Arial" w:hAnsi="Arial" w:cs="Arial"/>
        </w:rPr>
      </w:pPr>
      <w:r w:rsidRPr="00693132">
        <w:rPr>
          <w:rFonts w:ascii="Arial" w:hAnsi="Arial" w:cs="Arial"/>
        </w:rPr>
        <w:t xml:space="preserve">Tobler, W. </w:t>
      </w:r>
      <w:r w:rsidRPr="00693132">
        <w:rPr>
          <w:rFonts w:ascii="Arial" w:hAnsi="Arial" w:cs="Arial"/>
          <w:i/>
          <w:iCs/>
        </w:rPr>
        <w:t>et al.</w:t>
      </w:r>
      <w:r w:rsidRPr="00693132">
        <w:rPr>
          <w:rFonts w:ascii="Arial" w:hAnsi="Arial" w:cs="Arial"/>
        </w:rPr>
        <w:t xml:space="preserve"> (1997) ‘World population in a grid of spherical quadrilaterals’, </w:t>
      </w:r>
      <w:r w:rsidRPr="00693132">
        <w:rPr>
          <w:rFonts w:ascii="Arial" w:hAnsi="Arial" w:cs="Arial"/>
          <w:i/>
          <w:iCs/>
        </w:rPr>
        <w:t>International Journal of Population Geography</w:t>
      </w:r>
      <w:r w:rsidRPr="00693132">
        <w:rPr>
          <w:rFonts w:ascii="Arial" w:hAnsi="Arial" w:cs="Arial"/>
        </w:rPr>
        <w:t>, 3(3), pp. 203–225. Available at: https://doi.org/10.1002/(SICI)1099-1220(199709)3:3&lt;</w:t>
      </w:r>
      <w:proofErr w:type="gramStart"/>
      <w:r w:rsidRPr="00693132">
        <w:rPr>
          <w:rFonts w:ascii="Arial" w:hAnsi="Arial" w:cs="Arial"/>
        </w:rPr>
        <w:t>203::</w:t>
      </w:r>
      <w:proofErr w:type="gramEnd"/>
      <w:r w:rsidRPr="00693132">
        <w:rPr>
          <w:rFonts w:ascii="Arial" w:hAnsi="Arial" w:cs="Arial"/>
        </w:rPr>
        <w:t>AID-IJPG68&gt;3.0.CO;2-C.</w:t>
      </w:r>
    </w:p>
    <w:p w14:paraId="64DBB869" w14:textId="77777777" w:rsidR="00693132" w:rsidRPr="00693132" w:rsidRDefault="00693132" w:rsidP="00693132">
      <w:pPr>
        <w:pStyle w:val="Bibliography"/>
        <w:rPr>
          <w:rFonts w:ascii="Arial" w:hAnsi="Arial" w:cs="Arial"/>
        </w:rPr>
      </w:pPr>
      <w:r w:rsidRPr="00693132">
        <w:rPr>
          <w:rFonts w:ascii="Arial" w:hAnsi="Arial" w:cs="Arial"/>
        </w:rPr>
        <w:t xml:space="preserve">Tuholske, C. </w:t>
      </w:r>
      <w:r w:rsidRPr="00693132">
        <w:rPr>
          <w:rFonts w:ascii="Arial" w:hAnsi="Arial" w:cs="Arial"/>
          <w:i/>
          <w:iCs/>
        </w:rPr>
        <w:t>et al.</w:t>
      </w:r>
      <w:r w:rsidRPr="00693132">
        <w:rPr>
          <w:rFonts w:ascii="Arial" w:hAnsi="Arial" w:cs="Arial"/>
        </w:rPr>
        <w:t xml:space="preserve"> (2021) ‘Implications for Tracking SDG Indicator Metrics with Gridded Population Data’, </w:t>
      </w:r>
      <w:r w:rsidRPr="00693132">
        <w:rPr>
          <w:rFonts w:ascii="Arial" w:hAnsi="Arial" w:cs="Arial"/>
          <w:i/>
          <w:iCs/>
        </w:rPr>
        <w:t>Sustainability</w:t>
      </w:r>
      <w:r w:rsidRPr="00693132">
        <w:rPr>
          <w:rFonts w:ascii="Arial" w:hAnsi="Arial" w:cs="Arial"/>
        </w:rPr>
        <w:t>, 13(13), p. 7329. Available at: https://doi.org/10.3390/su13137329.</w:t>
      </w:r>
    </w:p>
    <w:p w14:paraId="5C3E7D7E" w14:textId="77777777" w:rsidR="00693132" w:rsidRPr="00693132" w:rsidRDefault="00693132" w:rsidP="00693132">
      <w:pPr>
        <w:pStyle w:val="Bibliography"/>
        <w:rPr>
          <w:rFonts w:ascii="Arial" w:hAnsi="Arial" w:cs="Arial"/>
        </w:rPr>
      </w:pPr>
      <w:r w:rsidRPr="00693132">
        <w:rPr>
          <w:rFonts w:ascii="Arial" w:hAnsi="Arial" w:cs="Arial"/>
        </w:rPr>
        <w:t xml:space="preserve">United Nations (2022) </w:t>
      </w:r>
      <w:r w:rsidRPr="00693132">
        <w:rPr>
          <w:rFonts w:ascii="Arial" w:hAnsi="Arial" w:cs="Arial"/>
          <w:i/>
          <w:iCs/>
        </w:rPr>
        <w:t>The Sustainable Development Goals Report 2022</w:t>
      </w:r>
      <w:r w:rsidRPr="00693132">
        <w:rPr>
          <w:rFonts w:ascii="Arial" w:hAnsi="Arial" w:cs="Arial"/>
        </w:rPr>
        <w:t>. New York, NY: United Nations. Available at: https://unstats.un.org/sdgs/report/2022/.</w:t>
      </w:r>
    </w:p>
    <w:p w14:paraId="64613372" w14:textId="77777777" w:rsidR="00693132" w:rsidRPr="00693132" w:rsidRDefault="00693132" w:rsidP="00693132">
      <w:pPr>
        <w:pStyle w:val="Bibliography"/>
        <w:rPr>
          <w:rFonts w:ascii="Arial" w:hAnsi="Arial" w:cs="Arial"/>
        </w:rPr>
      </w:pPr>
      <w:r w:rsidRPr="00693132">
        <w:rPr>
          <w:rFonts w:ascii="Arial" w:hAnsi="Arial" w:cs="Arial"/>
        </w:rPr>
        <w:t xml:space="preserve">United Nations in India (2022) </w:t>
      </w:r>
      <w:r w:rsidRPr="00693132">
        <w:rPr>
          <w:rFonts w:ascii="Arial" w:hAnsi="Arial" w:cs="Arial"/>
          <w:i/>
          <w:iCs/>
        </w:rPr>
        <w:t>UN India Annual Report 2021</w:t>
      </w:r>
      <w:r w:rsidRPr="00693132">
        <w:rPr>
          <w:rFonts w:ascii="Arial" w:hAnsi="Arial" w:cs="Arial"/>
        </w:rPr>
        <w:t>. New Delhi, India. Available at: https://india.un.org/en/195240-un-india-annual-report-2021 (Accessed: 30 May 2023).</w:t>
      </w:r>
    </w:p>
    <w:p w14:paraId="7FFF9319" w14:textId="77777777" w:rsidR="00693132" w:rsidRPr="00693132" w:rsidRDefault="00693132" w:rsidP="00693132">
      <w:pPr>
        <w:pStyle w:val="Bibliography"/>
        <w:rPr>
          <w:rFonts w:ascii="Arial" w:hAnsi="Arial" w:cs="Arial"/>
        </w:rPr>
      </w:pPr>
      <w:r w:rsidRPr="00693132">
        <w:rPr>
          <w:rFonts w:ascii="Arial" w:hAnsi="Arial" w:cs="Arial"/>
        </w:rPr>
        <w:t xml:space="preserve">Viel, J.-F. and Tran, A. (2009) ‘Estimating Denominators: Satellite-Based Population Estimates at a Fine Spatial Resolution in a European Urban Area’, </w:t>
      </w:r>
      <w:r w:rsidRPr="00693132">
        <w:rPr>
          <w:rFonts w:ascii="Arial" w:hAnsi="Arial" w:cs="Arial"/>
          <w:i/>
          <w:iCs/>
        </w:rPr>
        <w:t>Epidemiology</w:t>
      </w:r>
      <w:r w:rsidRPr="00693132">
        <w:rPr>
          <w:rFonts w:ascii="Arial" w:hAnsi="Arial" w:cs="Arial"/>
        </w:rPr>
        <w:t>, 20(2), pp. 214–222.</w:t>
      </w:r>
    </w:p>
    <w:p w14:paraId="0ABB1B80" w14:textId="77777777" w:rsidR="00693132" w:rsidRPr="00693132" w:rsidRDefault="00693132" w:rsidP="00693132">
      <w:pPr>
        <w:pStyle w:val="Bibliography"/>
        <w:rPr>
          <w:rFonts w:ascii="Arial" w:hAnsi="Arial" w:cs="Arial"/>
        </w:rPr>
      </w:pPr>
      <w:r w:rsidRPr="00693132">
        <w:rPr>
          <w:rFonts w:ascii="Arial" w:hAnsi="Arial" w:cs="Arial"/>
        </w:rPr>
        <w:t xml:space="preserve">Wardrop, N.A. </w:t>
      </w:r>
      <w:r w:rsidRPr="00693132">
        <w:rPr>
          <w:rFonts w:ascii="Arial" w:hAnsi="Arial" w:cs="Arial"/>
          <w:i/>
          <w:iCs/>
        </w:rPr>
        <w:t>et al.</w:t>
      </w:r>
      <w:r w:rsidRPr="00693132">
        <w:rPr>
          <w:rFonts w:ascii="Arial" w:hAnsi="Arial" w:cs="Arial"/>
        </w:rPr>
        <w:t xml:space="preserve"> (2018) ‘Spatially disaggregated population estimates in the absence of national population and housing census data’, </w:t>
      </w:r>
      <w:r w:rsidRPr="00693132">
        <w:rPr>
          <w:rFonts w:ascii="Arial" w:hAnsi="Arial" w:cs="Arial"/>
          <w:i/>
          <w:iCs/>
        </w:rPr>
        <w:t>Proceedings of the National Academy of Sciences</w:t>
      </w:r>
      <w:r w:rsidRPr="00693132">
        <w:rPr>
          <w:rFonts w:ascii="Arial" w:hAnsi="Arial" w:cs="Arial"/>
        </w:rPr>
        <w:t>, 115(14), pp. 3529–3537. Available at: https://doi.org/10.1073/pnas.1715305115.</w:t>
      </w:r>
    </w:p>
    <w:p w14:paraId="471AA2E4" w14:textId="77777777" w:rsidR="00693132" w:rsidRPr="00693132" w:rsidRDefault="00693132" w:rsidP="00693132">
      <w:pPr>
        <w:pStyle w:val="Bibliography"/>
        <w:rPr>
          <w:rFonts w:ascii="Arial" w:hAnsi="Arial" w:cs="Arial"/>
        </w:rPr>
      </w:pPr>
      <w:r w:rsidRPr="00693132">
        <w:rPr>
          <w:rFonts w:ascii="Arial" w:hAnsi="Arial" w:cs="Arial"/>
        </w:rPr>
        <w:t xml:space="preserve">Wong, D.W. (2009) ‘Modifiable Areal Unit Problem’, in R. </w:t>
      </w:r>
      <w:proofErr w:type="spellStart"/>
      <w:r w:rsidRPr="00693132">
        <w:rPr>
          <w:rFonts w:ascii="Arial" w:hAnsi="Arial" w:cs="Arial"/>
        </w:rPr>
        <w:t>Kitchin</w:t>
      </w:r>
      <w:proofErr w:type="spellEnd"/>
      <w:r w:rsidRPr="00693132">
        <w:rPr>
          <w:rFonts w:ascii="Arial" w:hAnsi="Arial" w:cs="Arial"/>
        </w:rPr>
        <w:t xml:space="preserve"> and N. Thrift (eds) </w:t>
      </w:r>
      <w:r w:rsidRPr="00693132">
        <w:rPr>
          <w:rFonts w:ascii="Arial" w:hAnsi="Arial" w:cs="Arial"/>
          <w:i/>
          <w:iCs/>
        </w:rPr>
        <w:t xml:space="preserve">International </w:t>
      </w:r>
      <w:proofErr w:type="spellStart"/>
      <w:r w:rsidRPr="00693132">
        <w:rPr>
          <w:rFonts w:ascii="Arial" w:hAnsi="Arial" w:cs="Arial"/>
          <w:i/>
          <w:iCs/>
        </w:rPr>
        <w:t>Encyclopedia</w:t>
      </w:r>
      <w:proofErr w:type="spellEnd"/>
      <w:r w:rsidRPr="00693132">
        <w:rPr>
          <w:rFonts w:ascii="Arial" w:hAnsi="Arial" w:cs="Arial"/>
          <w:i/>
          <w:iCs/>
        </w:rPr>
        <w:t xml:space="preserve"> of Human Geography</w:t>
      </w:r>
      <w:r w:rsidRPr="00693132">
        <w:rPr>
          <w:rFonts w:ascii="Arial" w:hAnsi="Arial" w:cs="Arial"/>
        </w:rPr>
        <w:t>. Oxford: Elsevier, pp. 169–174. Available at: https://doi.org/10.1016/B978-008044910-4.00475-2.</w:t>
      </w:r>
    </w:p>
    <w:p w14:paraId="43B79DD1" w14:textId="4F424FB8"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5-30T17:53:00Z" w:initials="JP">
    <w:p w14:paraId="62BB4B9A" w14:textId="77777777" w:rsidR="00D53B5B" w:rsidRDefault="00D53B5B" w:rsidP="00D31541">
      <w:pPr>
        <w:pStyle w:val="CommentText"/>
        <w:jc w:val="left"/>
      </w:pPr>
      <w:r>
        <w:rPr>
          <w:rStyle w:val="CommentReference"/>
        </w:rPr>
        <w:annotationRef/>
      </w:r>
      <w:r>
        <w:t xml:space="preserve">This comment depends on how closely the overall thesis is linked to SL project. May choose instead to broaden the purpose statement to think about ADP for understanding climate vulnerability, economic factors, etc. </w:t>
      </w:r>
    </w:p>
  </w:comment>
  <w:comment w:id="1" w:author="Joe P" w:date="2023-06-01T17:13:00Z" w:initials="JP">
    <w:p w14:paraId="6816CE77" w14:textId="77777777" w:rsidR="00173E70" w:rsidRDefault="00173E70" w:rsidP="001A7C64">
      <w:pPr>
        <w:pStyle w:val="CommentText"/>
        <w:jc w:val="left"/>
      </w:pPr>
      <w:r>
        <w:rPr>
          <w:rStyle w:val="CommentReference"/>
        </w:rPr>
        <w:annotationRef/>
      </w:r>
      <w:r>
        <w:t xml:space="preserve">Is this relevant? </w:t>
      </w:r>
    </w:p>
  </w:comment>
  <w:comment w:id="2" w:author="Joe P" w:date="2023-06-01T12:33:00Z" w:initials="JP">
    <w:p w14:paraId="4D941D8A" w14:textId="268077F4" w:rsidR="007C27E8" w:rsidRDefault="007C27E8" w:rsidP="000F486F">
      <w:pPr>
        <w:pStyle w:val="CommentText"/>
        <w:jc w:val="left"/>
      </w:pPr>
      <w:r>
        <w:rPr>
          <w:rStyle w:val="CommentReference"/>
        </w:rPr>
        <w:annotationRef/>
      </w:r>
      <w:r>
        <w:t xml:space="preserve">More appropriate for Discussion, instead of LR?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B4B9A" w15:done="0"/>
  <w15:commentEx w15:paraId="6816CE77" w15:done="0"/>
  <w15:commentEx w15:paraId="4D941D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B683" w16cex:dateUtc="2023-05-30T16:53:00Z"/>
  <w16cex:commentExtensible w16cex:durableId="28235029" w16cex:dateUtc="2023-06-01T16:13:00Z"/>
  <w16cex:commentExtensible w16cex:durableId="28230E9F" w16cex:dateUtc="2023-06-01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B4B9A" w16cid:durableId="2820B683"/>
  <w16cid:commentId w16cid:paraId="6816CE77" w16cid:durableId="28235029"/>
  <w16cid:commentId w16cid:paraId="4D941D8A" w16cid:durableId="28230E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6"/>
  </w:num>
  <w:num w:numId="4" w16cid:durableId="495920517">
    <w:abstractNumId w:val="0"/>
  </w:num>
  <w:num w:numId="5" w16cid:durableId="1691027586">
    <w:abstractNumId w:val="8"/>
  </w:num>
  <w:num w:numId="6" w16cid:durableId="1115101120">
    <w:abstractNumId w:val="13"/>
  </w:num>
  <w:num w:numId="7" w16cid:durableId="2059545312">
    <w:abstractNumId w:val="12"/>
  </w:num>
  <w:num w:numId="8" w16cid:durableId="1826318471">
    <w:abstractNumId w:val="15"/>
  </w:num>
  <w:num w:numId="9" w16cid:durableId="1691641178">
    <w:abstractNumId w:val="7"/>
  </w:num>
  <w:num w:numId="10" w16cid:durableId="850797258">
    <w:abstractNumId w:val="9"/>
  </w:num>
  <w:num w:numId="11" w16cid:durableId="113066109">
    <w:abstractNumId w:val="2"/>
  </w:num>
  <w:num w:numId="12" w16cid:durableId="679699158">
    <w:abstractNumId w:val="4"/>
  </w:num>
  <w:num w:numId="13" w16cid:durableId="615914477">
    <w:abstractNumId w:val="5"/>
  </w:num>
  <w:num w:numId="14" w16cid:durableId="1733697690">
    <w:abstractNumId w:val="10"/>
  </w:num>
  <w:num w:numId="15" w16cid:durableId="476263124">
    <w:abstractNumId w:val="1"/>
  </w:num>
  <w:num w:numId="16" w16cid:durableId="1186559874">
    <w:abstractNumId w:val="14"/>
  </w:num>
  <w:num w:numId="17" w16cid:durableId="13252060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33C8"/>
    <w:rsid w:val="00095403"/>
    <w:rsid w:val="00097DDE"/>
    <w:rsid w:val="000A0A8B"/>
    <w:rsid w:val="000B1827"/>
    <w:rsid w:val="000B2E87"/>
    <w:rsid w:val="000B56E4"/>
    <w:rsid w:val="000C417A"/>
    <w:rsid w:val="000D339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75FD9"/>
    <w:rsid w:val="002823B1"/>
    <w:rsid w:val="00296D7E"/>
    <w:rsid w:val="002A307B"/>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C23FE"/>
    <w:rsid w:val="003D1273"/>
    <w:rsid w:val="003D2CB2"/>
    <w:rsid w:val="003E4307"/>
    <w:rsid w:val="003F1712"/>
    <w:rsid w:val="0041269A"/>
    <w:rsid w:val="004132AB"/>
    <w:rsid w:val="00416CFA"/>
    <w:rsid w:val="00424424"/>
    <w:rsid w:val="00436E9B"/>
    <w:rsid w:val="004578B7"/>
    <w:rsid w:val="004619B3"/>
    <w:rsid w:val="004701E2"/>
    <w:rsid w:val="0047502D"/>
    <w:rsid w:val="00495C82"/>
    <w:rsid w:val="004B4980"/>
    <w:rsid w:val="004C5FB5"/>
    <w:rsid w:val="004D1CC8"/>
    <w:rsid w:val="004D254F"/>
    <w:rsid w:val="004E5AA4"/>
    <w:rsid w:val="004F0DB9"/>
    <w:rsid w:val="0050268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C6C41"/>
    <w:rsid w:val="006D2271"/>
    <w:rsid w:val="006D7F67"/>
    <w:rsid w:val="006E1600"/>
    <w:rsid w:val="006F3561"/>
    <w:rsid w:val="006F4947"/>
    <w:rsid w:val="006F49BD"/>
    <w:rsid w:val="006F7935"/>
    <w:rsid w:val="00707C27"/>
    <w:rsid w:val="00720FEC"/>
    <w:rsid w:val="00774585"/>
    <w:rsid w:val="00785ACB"/>
    <w:rsid w:val="00786773"/>
    <w:rsid w:val="00787124"/>
    <w:rsid w:val="007A3897"/>
    <w:rsid w:val="007A4ED6"/>
    <w:rsid w:val="007A762F"/>
    <w:rsid w:val="007C19F9"/>
    <w:rsid w:val="007C27E8"/>
    <w:rsid w:val="007F5D89"/>
    <w:rsid w:val="007F790C"/>
    <w:rsid w:val="007F79C8"/>
    <w:rsid w:val="007F7A29"/>
    <w:rsid w:val="00803FB7"/>
    <w:rsid w:val="008071D3"/>
    <w:rsid w:val="0081472A"/>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5D72"/>
    <w:rsid w:val="009107B5"/>
    <w:rsid w:val="00921144"/>
    <w:rsid w:val="009225AB"/>
    <w:rsid w:val="00942541"/>
    <w:rsid w:val="00967305"/>
    <w:rsid w:val="00977597"/>
    <w:rsid w:val="009820B5"/>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32147"/>
    <w:rsid w:val="00B433D4"/>
    <w:rsid w:val="00B52465"/>
    <w:rsid w:val="00B9045B"/>
    <w:rsid w:val="00B95F99"/>
    <w:rsid w:val="00BA2186"/>
    <w:rsid w:val="00BB065F"/>
    <w:rsid w:val="00BD7621"/>
    <w:rsid w:val="00BD7A4B"/>
    <w:rsid w:val="00BE1EFE"/>
    <w:rsid w:val="00BF0799"/>
    <w:rsid w:val="00BF45CD"/>
    <w:rsid w:val="00C10490"/>
    <w:rsid w:val="00C10EE7"/>
    <w:rsid w:val="00C15929"/>
    <w:rsid w:val="00C15F4C"/>
    <w:rsid w:val="00C27676"/>
    <w:rsid w:val="00C404DD"/>
    <w:rsid w:val="00C410A3"/>
    <w:rsid w:val="00C42655"/>
    <w:rsid w:val="00C43689"/>
    <w:rsid w:val="00C43B02"/>
    <w:rsid w:val="00C47771"/>
    <w:rsid w:val="00C53627"/>
    <w:rsid w:val="00C61E47"/>
    <w:rsid w:val="00C65C60"/>
    <w:rsid w:val="00C67A65"/>
    <w:rsid w:val="00C72E05"/>
    <w:rsid w:val="00CB2479"/>
    <w:rsid w:val="00CB6441"/>
    <w:rsid w:val="00CD3383"/>
    <w:rsid w:val="00CE543F"/>
    <w:rsid w:val="00D11CD4"/>
    <w:rsid w:val="00D36FF4"/>
    <w:rsid w:val="00D37989"/>
    <w:rsid w:val="00D40AC4"/>
    <w:rsid w:val="00D41FC4"/>
    <w:rsid w:val="00D53B5B"/>
    <w:rsid w:val="00D629E7"/>
    <w:rsid w:val="00D7598D"/>
    <w:rsid w:val="00D77EB0"/>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542AF"/>
    <w:rsid w:val="00E55026"/>
    <w:rsid w:val="00E5621E"/>
    <w:rsid w:val="00E621CF"/>
    <w:rsid w:val="00E706EB"/>
    <w:rsid w:val="00E73F17"/>
    <w:rsid w:val="00E77587"/>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B3596"/>
    <w:rsid w:val="00FC1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E5E52"/>
    <w:pPr>
      <w:keepNext/>
      <w:keepLines/>
      <w:spacing w:before="120" w:after="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E5E52"/>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Pages>
  <Words>10583</Words>
  <Characters>60327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36</cp:revision>
  <cp:lastPrinted>2023-05-05T15:20:00Z</cp:lastPrinted>
  <dcterms:created xsi:type="dcterms:W3CDTF">2023-05-24T12:47:00Z</dcterms:created>
  <dcterms:modified xsi:type="dcterms:W3CDTF">2023-06-02T15:31:00Z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id="W6c2RGLZ"/&gt;&lt;style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