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1522607F" w:rsidR="00C27676" w:rsidRDefault="00C27676" w:rsidP="005E13E5">
      <w:pPr>
        <w:pStyle w:val="Heading1"/>
      </w:pPr>
      <w:r>
        <w:t>CASA</w:t>
      </w:r>
      <w:r w:rsidR="006A12BE">
        <w:t xml:space="preserve"> dissertation: Literature Review</w:t>
      </w:r>
    </w:p>
    <w:p w14:paraId="00B7619A" w14:textId="6A9C45F4" w:rsidR="00495C82" w:rsidRDefault="00C27676" w:rsidP="000661A5">
      <w:r>
        <w:t>Student Number: 22186878</w:t>
      </w:r>
    </w:p>
    <w:p w14:paraId="6A6D76CB" w14:textId="7EB85178" w:rsidR="002A307B" w:rsidRPr="00540B2E"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7AA9C7F1" w:rsidR="00102E51" w:rsidRDefault="00102E51" w:rsidP="00424424">
      <w:pPr>
        <w:pStyle w:val="ListParagraph"/>
        <w:numPr>
          <w:ilvl w:val="0"/>
          <w:numId w:val="17"/>
        </w:numPr>
      </w:pPr>
      <w:r>
        <w:t>Justification of extending project to India</w:t>
      </w:r>
    </w:p>
    <w:p w14:paraId="274D77E1" w14:textId="13FBDE3D" w:rsidR="00424424" w:rsidRDefault="00424424" w:rsidP="00424424">
      <w:pPr>
        <w:pStyle w:val="ListParagraph"/>
        <w:numPr>
          <w:ilvl w:val="0"/>
          <w:numId w:val="17"/>
        </w:numPr>
      </w:pPr>
      <w:r>
        <w:t>Research Questions</w:t>
      </w:r>
    </w:p>
    <w:p w14:paraId="1D2E2AC8" w14:textId="51CD501F" w:rsidR="00424424" w:rsidRDefault="00424424" w:rsidP="00424424">
      <w:pPr>
        <w:pStyle w:val="Heading3"/>
      </w:pPr>
      <w:r>
        <w:t>Literature Review</w:t>
      </w:r>
    </w:p>
    <w:p w14:paraId="32268B87" w14:textId="4E494382" w:rsidR="00540B2E" w:rsidRDefault="00540B2E" w:rsidP="00540B2E">
      <w:pPr>
        <w:pStyle w:val="ListParagraph"/>
        <w:numPr>
          <w:ilvl w:val="0"/>
          <w:numId w:val="17"/>
        </w:numPr>
      </w:pPr>
      <w:r>
        <w:t>Agricultural Dependent Populations</w:t>
      </w:r>
    </w:p>
    <w:p w14:paraId="6139A279" w14:textId="00D4CDF5" w:rsidR="00540B2E" w:rsidRDefault="00540B2E" w:rsidP="00540B2E">
      <w:pPr>
        <w:pStyle w:val="ListParagraph"/>
        <w:numPr>
          <w:ilvl w:val="1"/>
          <w:numId w:val="17"/>
        </w:numPr>
      </w:pPr>
      <w:r>
        <w:t xml:space="preserve">How is this defined in the literature? </w:t>
      </w:r>
    </w:p>
    <w:p w14:paraId="0878E922" w14:textId="19F9A062" w:rsidR="00540B2E" w:rsidRDefault="00540B2E" w:rsidP="00540B2E">
      <w:pPr>
        <w:pStyle w:val="ListParagraph"/>
        <w:numPr>
          <w:ilvl w:val="1"/>
          <w:numId w:val="17"/>
        </w:numPr>
      </w:pPr>
      <w:r>
        <w:t>Why is this term useful? What is the value of understanding this population?</w:t>
      </w:r>
    </w:p>
    <w:p w14:paraId="654B5415" w14:textId="315B4D01" w:rsidR="00102E51" w:rsidRDefault="00102E51" w:rsidP="00102E51">
      <w:pPr>
        <w:pStyle w:val="ListParagraph"/>
        <w:numPr>
          <w:ilvl w:val="0"/>
          <w:numId w:val="17"/>
        </w:numPr>
      </w:pPr>
      <w:r>
        <w:t>Indian context</w:t>
      </w:r>
    </w:p>
    <w:p w14:paraId="76CC4347" w14:textId="19A81238" w:rsidR="00102E51" w:rsidRDefault="00102E51" w:rsidP="00102E51">
      <w:pPr>
        <w:pStyle w:val="ListParagraph"/>
        <w:numPr>
          <w:ilvl w:val="1"/>
          <w:numId w:val="17"/>
        </w:numPr>
      </w:pPr>
      <w:r>
        <w:t>States/districts/villages formation</w:t>
      </w:r>
    </w:p>
    <w:p w14:paraId="36BFFB5F" w14:textId="434DE0DA" w:rsidR="00102E51" w:rsidRDefault="00102E51" w:rsidP="00102E51">
      <w:pPr>
        <w:pStyle w:val="ListParagraph"/>
        <w:numPr>
          <w:ilvl w:val="1"/>
          <w:numId w:val="17"/>
        </w:numPr>
      </w:pPr>
      <w:r>
        <w:t>National-level agricultural dependence, statistics</w:t>
      </w:r>
    </w:p>
    <w:p w14:paraId="2356B2E9" w14:textId="7334E090" w:rsidR="00102E51" w:rsidRDefault="00102E51" w:rsidP="00102E51">
      <w:pPr>
        <w:pStyle w:val="ListParagraph"/>
        <w:numPr>
          <w:ilvl w:val="1"/>
          <w:numId w:val="17"/>
        </w:numPr>
      </w:pPr>
      <w:r>
        <w:t>Available census data; opportunities and limitations</w:t>
      </w:r>
    </w:p>
    <w:p w14:paraId="30DD70AB" w14:textId="78B16434" w:rsidR="00540B2E" w:rsidRDefault="00540B2E" w:rsidP="00540B2E">
      <w:pPr>
        <w:pStyle w:val="ListParagraph"/>
        <w:numPr>
          <w:ilvl w:val="0"/>
          <w:numId w:val="17"/>
        </w:numPr>
      </w:pPr>
      <w:r>
        <w:t>Spatial disaggregation</w:t>
      </w:r>
    </w:p>
    <w:p w14:paraId="5BE783F8" w14:textId="7E25BE99" w:rsidR="00540B2E" w:rsidRDefault="00540B2E" w:rsidP="00540B2E">
      <w:pPr>
        <w:pStyle w:val="ListParagraph"/>
        <w:numPr>
          <w:ilvl w:val="1"/>
          <w:numId w:val="17"/>
        </w:numPr>
      </w:pPr>
      <w:r>
        <w:t xml:space="preserve">What does this term mean? </w:t>
      </w:r>
    </w:p>
    <w:p w14:paraId="758AEC24" w14:textId="6D410FF3" w:rsidR="00540B2E" w:rsidRDefault="00540B2E" w:rsidP="00540B2E">
      <w:pPr>
        <w:pStyle w:val="ListParagraph"/>
        <w:numPr>
          <w:ilvl w:val="1"/>
          <w:numId w:val="17"/>
        </w:numPr>
      </w:pPr>
      <w:r>
        <w:t xml:space="preserve">Examples of spatial disaggregation methods; their strengths and weaknesses. </w:t>
      </w:r>
    </w:p>
    <w:p w14:paraId="5B46ECFA" w14:textId="3E258022" w:rsidR="00122C75" w:rsidRDefault="00122C75" w:rsidP="00540B2E">
      <w:pPr>
        <w:pStyle w:val="ListParagraph"/>
        <w:numPr>
          <w:ilvl w:val="1"/>
          <w:numId w:val="17"/>
        </w:numPr>
      </w:pPr>
      <w:r>
        <w:t xml:space="preserve">Binary dasymetric mapping: the main method to be </w:t>
      </w:r>
      <w:proofErr w:type="gramStart"/>
      <w:r>
        <w:t>used</w:t>
      </w:r>
      <w:proofErr w:type="gramEnd"/>
    </w:p>
    <w:p w14:paraId="4EE9859D" w14:textId="576EA4CC" w:rsidR="009C2206" w:rsidRDefault="009C2206" w:rsidP="00540B2E">
      <w:pPr>
        <w:pStyle w:val="ListParagraph"/>
        <w:numPr>
          <w:ilvl w:val="1"/>
          <w:numId w:val="17"/>
        </w:numPr>
      </w:pPr>
      <w:r>
        <w:t>Considerations: MAUP, etc.</w:t>
      </w:r>
    </w:p>
    <w:p w14:paraId="708AD742" w14:textId="48F59F01" w:rsidR="003321F4" w:rsidRDefault="003321F4" w:rsidP="003321F4">
      <w:pPr>
        <w:pStyle w:val="Heading2"/>
      </w:pPr>
      <w:r>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07298319"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particularly the distribution of agricultural population in a region will provide a more accurate estimate of </w:t>
      </w:r>
      <w:commentRangeStart w:id="0"/>
      <w:r w:rsidR="00D53B5B">
        <w:t xml:space="preserve">local </w:t>
      </w:r>
      <w:r>
        <w:t xml:space="preserve">demand on </w:t>
      </w:r>
      <w:r w:rsidR="00D53B5B">
        <w:t>water resources</w:t>
      </w:r>
      <w:commentRangeEnd w:id="0"/>
      <w:r w:rsidR="00D53B5B">
        <w:rPr>
          <w:rStyle w:val="CommentReference"/>
        </w:rPr>
        <w:commentReference w:id="0"/>
      </w:r>
      <w:r w:rsidR="00D53B5B">
        <w: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229AC5EA" w:rsidR="00C61E47" w:rsidRDefault="00C61E47" w:rsidP="00C61E47">
      <w:pPr>
        <w:pStyle w:val="Heading3"/>
      </w:pPr>
      <w:r>
        <w:t>Preamble</w:t>
      </w:r>
    </w:p>
    <w:p w14:paraId="009AB8C7" w14:textId="05839798" w:rsidR="00C61E47" w:rsidRPr="00275FD9" w:rsidRDefault="00C61E47" w:rsidP="00C61E47">
      <w:pPr>
        <w:rPr>
          <w:color w:val="4472C4" w:themeColor="accent1"/>
        </w:rPr>
      </w:pPr>
      <w:r w:rsidRPr="00275FD9">
        <w:rPr>
          <w:color w:val="4472C4" w:themeColor="accent1"/>
        </w:rPr>
        <w:t xml:space="preserve">Introduction for the literature review; summarise the findings and topics that will be explored – ADP, India, and Spatial Disaggregation Methodology. </w:t>
      </w:r>
    </w:p>
    <w:p w14:paraId="1D6622A0" w14:textId="5C4AF6F8" w:rsidR="00275FD9" w:rsidRPr="00C61E47" w:rsidRDefault="00275FD9" w:rsidP="00C61E47">
      <w:r>
        <w:t>Text</w:t>
      </w:r>
    </w:p>
    <w:p w14:paraId="5E0FB698" w14:textId="123F0041" w:rsidR="00424424" w:rsidRDefault="00424424" w:rsidP="00424424">
      <w:pPr>
        <w:pStyle w:val="Heading3"/>
      </w:pPr>
      <w:r>
        <w:t>Agricultural Dependent Populations</w:t>
      </w:r>
    </w:p>
    <w:p w14:paraId="2048B070" w14:textId="670C5FD1" w:rsidR="00424424" w:rsidRDefault="00C61E47" w:rsidP="00424424">
      <w:r>
        <w:t>Text</w:t>
      </w:r>
    </w:p>
    <w:p w14:paraId="78203C74" w14:textId="0F11D0B8" w:rsidR="00C61E47" w:rsidRDefault="00C61E47" w:rsidP="00C61E47">
      <w:pPr>
        <w:pStyle w:val="Heading3"/>
      </w:pPr>
      <w:r>
        <w:t>Indian Context</w:t>
      </w:r>
    </w:p>
    <w:p w14:paraId="5165C8CD" w14:textId="2B6A7AA8" w:rsidR="00F6487B" w:rsidRPr="00FA17E0" w:rsidRDefault="00F6487B" w:rsidP="00C61E47">
      <w:pPr>
        <w:rPr>
          <w:color w:val="4472C4" w:themeColor="accent1"/>
        </w:rPr>
      </w:pPr>
      <w:r w:rsidRPr="00FA17E0">
        <w:rPr>
          <w:color w:val="4472C4" w:themeColor="accent1"/>
        </w:rPr>
        <w:t xml:space="preserve">Paragraph topic: Intro; What is the current situation in India for ADP? </w:t>
      </w:r>
    </w:p>
    <w:p w14:paraId="21261CE2" w14:textId="7B5F1FE5" w:rsidR="00C61E47" w:rsidRDefault="0066661B" w:rsidP="00C61E47">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by the end of 2023 </w:t>
      </w:r>
      <w:r w:rsidR="009225AB">
        <w:fldChar w:fldCharType="begin"/>
      </w:r>
      <w:r w:rsidR="009225AB">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India","language":"en","publisher":"United Nations in India","publisher-place":"New Delhi, India","title":"UN India Annual Report 2021","URL":"https://india.un.org/en/195240-un-india-annual-report-2021, 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p>
    <w:p w14:paraId="3ACD8DE3" w14:textId="3E175D4B" w:rsidR="00380D6D" w:rsidRPr="00FA17E0" w:rsidRDefault="00380D6D" w:rsidP="00C61E47">
      <w:pPr>
        <w:rPr>
          <w:color w:val="4472C4" w:themeColor="accent1"/>
        </w:rPr>
      </w:pPr>
      <w:r w:rsidRPr="00FA17E0">
        <w:rPr>
          <w:color w:val="4472C4" w:themeColor="accent1"/>
        </w:rPr>
        <w:t xml:space="preserve">Paragraph topic: Administrative formation. </w:t>
      </w:r>
    </w:p>
    <w:p w14:paraId="68E5418B" w14:textId="0210708A" w:rsidR="00380D6D" w:rsidRDefault="00380D6D" w:rsidP="00C61E47">
      <w:r>
        <w:t xml:space="preserve">India is divided into 28 states and 8 union territories, each of which are further subdivided into districts and smaller administrative divisions. </w:t>
      </w:r>
    </w:p>
    <w:p w14:paraId="0EC65208" w14:textId="78BC446A" w:rsidR="00F6487B" w:rsidRPr="00FA17E0" w:rsidRDefault="00F6487B" w:rsidP="00C61E47">
      <w:pPr>
        <w:rPr>
          <w:color w:val="4472C4" w:themeColor="accent1"/>
        </w:rPr>
      </w:pPr>
      <w:r w:rsidRPr="00FA17E0">
        <w:rPr>
          <w:color w:val="4472C4" w:themeColor="accent1"/>
        </w:rPr>
        <w:t xml:space="preserve">Paragraph topic: census data – what is available? Opportunities/Limitations? </w:t>
      </w:r>
    </w:p>
    <w:p w14:paraId="5191C298" w14:textId="126B6ED6" w:rsidR="00F6487B" w:rsidRDefault="00F6487B" w:rsidP="00C61E47">
      <w:r>
        <w:t xml:space="preserve">The most recent </w:t>
      </w:r>
      <w:r w:rsidR="00380D6D">
        <w:t>Census of India</w:t>
      </w:r>
      <w:r>
        <w:t xml:space="preserve"> was conducted in 2011</w:t>
      </w:r>
      <w:r w:rsidR="00380D6D">
        <w:t>.</w:t>
      </w:r>
    </w:p>
    <w:p w14:paraId="6B2D5823" w14:textId="18FF7503" w:rsidR="00C61E47" w:rsidRDefault="00C61E47" w:rsidP="00C61E47">
      <w:pPr>
        <w:pStyle w:val="Heading3"/>
      </w:pPr>
      <w:r>
        <w:t>Spatial Disaggregation</w:t>
      </w:r>
    </w:p>
    <w:p w14:paraId="5F64BFEA" w14:textId="4AF1DF86" w:rsidR="00FA17E0" w:rsidRPr="00FA17E0" w:rsidRDefault="00FA17E0" w:rsidP="00C61E47">
      <w:pPr>
        <w:rPr>
          <w:color w:val="4472C4" w:themeColor="accent1"/>
        </w:rPr>
      </w:pPr>
      <w:r w:rsidRPr="00FA17E0">
        <w:rPr>
          <w:color w:val="4472C4" w:themeColor="accent1"/>
        </w:rPr>
        <w:t xml:space="preserve">Paragraph topic: </w:t>
      </w:r>
      <w:r>
        <w:rPr>
          <w:color w:val="4472C4" w:themeColor="accent1"/>
        </w:rPr>
        <w:t>Define spatial disaggregation; Why is i</w:t>
      </w:r>
      <w:r w:rsidR="00275FD9">
        <w:rPr>
          <w:color w:val="4472C4" w:themeColor="accent1"/>
        </w:rPr>
        <w:t>t</w:t>
      </w:r>
      <w:r>
        <w:rPr>
          <w:color w:val="4472C4" w:themeColor="accent1"/>
        </w:rPr>
        <w:t xml:space="preserve"> important? </w:t>
      </w:r>
    </w:p>
    <w:p w14:paraId="68DD07B2" w14:textId="10289D00" w:rsidR="00C61E47" w:rsidRP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higher level of spatial resolution. There is considerable interest in the process across both academic literature and in policy, particularly applied to estimating population at fine spatial scales, as this has important implications for service planning and delivery </w:t>
      </w:r>
      <w:r w:rsidR="00C42655">
        <w:fldChar w:fldCharType="begin"/>
      </w:r>
      <w:r w:rsidR="00C42655">
        <w:instrText xml:space="preserve"> ADDIN ZOTERO_ITEM CSL_CITATION {"citationID":"w1BHYWUT","properties":{"formattedCitation":"(Deichmann, 1996)","plainCitation":"(Deichmann, 1996)","noteIndex":0},"citationItems":[{"id":3158,"uris":["http://zotero.org/users/10222370/items/DYFAM2Q6"],"itemData":{"id":3158,"type":"article-journal","abstract":"The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others.","language":"en","source":"escholarship.org","title":"A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 xml:space="preserve">, and public health interventions </w:t>
      </w:r>
      <w:r w:rsidR="00C42655">
        <w:fldChar w:fldCharType="begin"/>
      </w:r>
      <w:r w:rsidR="00C42655">
        <w:instrText xml:space="preserve"> ADDIN ZOTERO_ITEM CSL_CITATION {"citationID":"58zRjw5o","properties":{"formattedCitation":"(Viel and Tran, 2009)","plainCitation":"(Viel and Tran, 2009)","noteIndex":0},"citationItems":[{"id":5862,"uris":["http://zotero.org/users/10222370/items/G8AJW9QK"],"itemData":{"id":5862,"type":"article-journal","abstract":"Background: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schema":"https://github.com/citation-style-language/schema/raw/master/csl-citation.json"} </w:instrText>
      </w:r>
      <w:r w:rsidR="00C42655">
        <w:fldChar w:fldCharType="separate"/>
      </w:r>
      <w:r w:rsidR="00C42655" w:rsidRPr="00C42655">
        <w:rPr>
          <w:rFonts w:ascii="Arial" w:hAnsi="Arial" w:cs="Arial"/>
        </w:rPr>
        <w:t>(Viel and Tran, 2009)</w:t>
      </w:r>
      <w:r w:rsidR="00C42655">
        <w:fldChar w:fldCharType="end"/>
      </w:r>
      <w:r w:rsidR="00275FD9">
        <w:t>, among others</w:t>
      </w:r>
      <w:r>
        <w:t xml:space="preserve">. </w:t>
      </w:r>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18A50EDB" w14:textId="77777777" w:rsidR="00C42655" w:rsidRPr="00C42655" w:rsidRDefault="009225AB" w:rsidP="00C42655">
      <w:pPr>
        <w:pStyle w:val="Bibliography"/>
        <w:rPr>
          <w:rFonts w:ascii="Arial" w:hAnsi="Arial" w:cs="Arial"/>
        </w:rPr>
      </w:pPr>
      <w:r>
        <w:fldChar w:fldCharType="begin"/>
      </w:r>
      <w:r>
        <w:instrText xml:space="preserve"> ADDIN ZOTERO_BIBL {"uncited":[],"omitted":[],"custom":[]} CSL_BIBLIOGRAPHY </w:instrText>
      </w:r>
      <w:r>
        <w:fldChar w:fldCharType="separate"/>
      </w:r>
      <w:r w:rsidR="00C42655" w:rsidRPr="00C42655">
        <w:rPr>
          <w:rFonts w:ascii="Arial" w:hAnsi="Arial" w:cs="Arial"/>
        </w:rPr>
        <w:t xml:space="preserve">Deichmann, U. (1996) ‘A Review of Spatial Population Database Design and </w:t>
      </w:r>
      <w:proofErr w:type="spellStart"/>
      <w:r w:rsidR="00C42655" w:rsidRPr="00C42655">
        <w:rPr>
          <w:rFonts w:ascii="Arial" w:hAnsi="Arial" w:cs="Arial"/>
        </w:rPr>
        <w:t>Modeling</w:t>
      </w:r>
      <w:proofErr w:type="spellEnd"/>
      <w:r w:rsidR="00C42655" w:rsidRPr="00C42655">
        <w:rPr>
          <w:rFonts w:ascii="Arial" w:hAnsi="Arial" w:cs="Arial"/>
        </w:rPr>
        <w:t>’. Available at: https://escholarship.org/uc/item/6g190671 (Accessed: 28 February 2023).</w:t>
      </w:r>
    </w:p>
    <w:p w14:paraId="0F37B5A3" w14:textId="77777777" w:rsidR="00C42655" w:rsidRPr="00C42655" w:rsidRDefault="00C42655" w:rsidP="00C42655">
      <w:pPr>
        <w:pStyle w:val="Bibliography"/>
        <w:rPr>
          <w:rFonts w:ascii="Arial" w:hAnsi="Arial" w:cs="Arial"/>
        </w:rPr>
      </w:pPr>
      <w:r w:rsidRPr="00C42655">
        <w:rPr>
          <w:rFonts w:ascii="Arial" w:hAnsi="Arial" w:cs="Arial"/>
        </w:rPr>
        <w:t xml:space="preserve">Schneiderbauer, S. and Ehrlich, D. (2005) ‘Population Density Estimations for Disaster Management: Case Study Rural Zimbabwe’, in P. van </w:t>
      </w:r>
      <w:proofErr w:type="spellStart"/>
      <w:r w:rsidRPr="00C42655">
        <w:rPr>
          <w:rFonts w:ascii="Arial" w:hAnsi="Arial" w:cs="Arial"/>
        </w:rPr>
        <w:t>Oosterom</w:t>
      </w:r>
      <w:proofErr w:type="spellEnd"/>
      <w:r w:rsidRPr="00C42655">
        <w:rPr>
          <w:rFonts w:ascii="Arial" w:hAnsi="Arial" w:cs="Arial"/>
        </w:rPr>
        <w:t xml:space="preserve">, S. </w:t>
      </w:r>
      <w:proofErr w:type="spellStart"/>
      <w:r w:rsidRPr="00C42655">
        <w:rPr>
          <w:rFonts w:ascii="Arial" w:hAnsi="Arial" w:cs="Arial"/>
        </w:rPr>
        <w:t>Zlatanova</w:t>
      </w:r>
      <w:proofErr w:type="spellEnd"/>
      <w:r w:rsidRPr="00C42655">
        <w:rPr>
          <w:rFonts w:ascii="Arial" w:hAnsi="Arial" w:cs="Arial"/>
        </w:rPr>
        <w:t xml:space="preserve">, and E.M. </w:t>
      </w:r>
      <w:proofErr w:type="spellStart"/>
      <w:r w:rsidRPr="00C42655">
        <w:rPr>
          <w:rFonts w:ascii="Arial" w:hAnsi="Arial" w:cs="Arial"/>
        </w:rPr>
        <w:t>Fendel</w:t>
      </w:r>
      <w:proofErr w:type="spellEnd"/>
      <w:r w:rsidRPr="00C42655">
        <w:rPr>
          <w:rFonts w:ascii="Arial" w:hAnsi="Arial" w:cs="Arial"/>
        </w:rPr>
        <w:t xml:space="preserve"> (eds) </w:t>
      </w:r>
      <w:r w:rsidRPr="00C42655">
        <w:rPr>
          <w:rFonts w:ascii="Arial" w:hAnsi="Arial" w:cs="Arial"/>
          <w:i/>
          <w:iCs/>
        </w:rPr>
        <w:t>Geo-information for Disaster Management</w:t>
      </w:r>
      <w:r w:rsidRPr="00C42655">
        <w:rPr>
          <w:rFonts w:ascii="Arial" w:hAnsi="Arial" w:cs="Arial"/>
        </w:rPr>
        <w:t>. Berlin, Heidelberg: Springer, pp. 901–921. Available at: https://doi.org/10.1007/3-540-27468-5_64.</w:t>
      </w:r>
    </w:p>
    <w:p w14:paraId="673FEC07" w14:textId="77777777" w:rsidR="00C42655" w:rsidRPr="00C42655" w:rsidRDefault="00C42655" w:rsidP="00C42655">
      <w:pPr>
        <w:pStyle w:val="Bibliography"/>
        <w:rPr>
          <w:rFonts w:ascii="Arial" w:hAnsi="Arial" w:cs="Arial"/>
        </w:rPr>
      </w:pPr>
      <w:r w:rsidRPr="00C42655">
        <w:rPr>
          <w:rFonts w:ascii="Arial" w:hAnsi="Arial" w:cs="Arial"/>
        </w:rPr>
        <w:t xml:space="preserve">United Nations in India (2022) </w:t>
      </w:r>
      <w:r w:rsidRPr="00C42655">
        <w:rPr>
          <w:rFonts w:ascii="Arial" w:hAnsi="Arial" w:cs="Arial"/>
          <w:i/>
          <w:iCs/>
        </w:rPr>
        <w:t>UN India Annual Report 2021</w:t>
      </w:r>
      <w:r w:rsidRPr="00C42655">
        <w:rPr>
          <w:rFonts w:ascii="Arial" w:hAnsi="Arial" w:cs="Arial"/>
        </w:rPr>
        <w:t>. New Delhi, India: United Nations in India. Available at: https://india.un.org/en/195240-un-india-annual-report-2021, https://india.un.org/en/195240-un-india-annual-report-2021 (Accessed: 30 May 2023).</w:t>
      </w:r>
    </w:p>
    <w:p w14:paraId="1A4EC321" w14:textId="77777777" w:rsidR="00C42655" w:rsidRPr="00C42655" w:rsidRDefault="00C42655" w:rsidP="00C42655">
      <w:pPr>
        <w:pStyle w:val="Bibliography"/>
        <w:rPr>
          <w:rFonts w:ascii="Arial" w:hAnsi="Arial" w:cs="Arial"/>
        </w:rPr>
      </w:pPr>
      <w:r w:rsidRPr="00C42655">
        <w:rPr>
          <w:rFonts w:ascii="Arial" w:hAnsi="Arial" w:cs="Arial"/>
        </w:rPr>
        <w:t xml:space="preserve">Viel, J.-F. and Tran, A. (2009) ‘Estimating Denominators: Satellite-Based Population Estimates at a Fine Spatial Resolution in a European Urban Area’, </w:t>
      </w:r>
      <w:r w:rsidRPr="00C42655">
        <w:rPr>
          <w:rFonts w:ascii="Arial" w:hAnsi="Arial" w:cs="Arial"/>
          <w:i/>
          <w:iCs/>
        </w:rPr>
        <w:t>Epidemiology</w:t>
      </w:r>
      <w:r w:rsidRPr="00C42655">
        <w:rPr>
          <w:rFonts w:ascii="Arial" w:hAnsi="Arial" w:cs="Arial"/>
        </w:rPr>
        <w:t>, 20(2), pp. 214–222.</w:t>
      </w:r>
    </w:p>
    <w:p w14:paraId="43B79DD1" w14:textId="589DE01F"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5-30T17:53:00Z" w:initials="JP">
    <w:p w14:paraId="62BB4B9A" w14:textId="77777777" w:rsidR="00D53B5B" w:rsidRDefault="00D53B5B" w:rsidP="00D31541">
      <w:pPr>
        <w:pStyle w:val="CommentText"/>
        <w:jc w:val="left"/>
      </w:pPr>
      <w:r>
        <w:rPr>
          <w:rStyle w:val="CommentReference"/>
        </w:rPr>
        <w:annotationRef/>
      </w:r>
      <w:r>
        <w:t xml:space="preserve">This comment depends on how closely the overall thesis is linked to SL project. May choose instead to broaden the purpose statement to think about ADP for understanding climate vulnerability, economic factors,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B4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683" w16cex:dateUtc="2023-05-30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B4B9A" w16cid:durableId="2820B6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A0A8B"/>
    <w:rsid w:val="000B1827"/>
    <w:rsid w:val="000B2E87"/>
    <w:rsid w:val="000B56E4"/>
    <w:rsid w:val="000C417A"/>
    <w:rsid w:val="000D339B"/>
    <w:rsid w:val="000F5982"/>
    <w:rsid w:val="000F7E9E"/>
    <w:rsid w:val="00102E51"/>
    <w:rsid w:val="00122C75"/>
    <w:rsid w:val="00123C47"/>
    <w:rsid w:val="00173FFA"/>
    <w:rsid w:val="001750F5"/>
    <w:rsid w:val="00176772"/>
    <w:rsid w:val="001827B8"/>
    <w:rsid w:val="00195C3D"/>
    <w:rsid w:val="001E4F99"/>
    <w:rsid w:val="001F2F0A"/>
    <w:rsid w:val="002049FD"/>
    <w:rsid w:val="00216E72"/>
    <w:rsid w:val="002171B4"/>
    <w:rsid w:val="00234DF4"/>
    <w:rsid w:val="002350FF"/>
    <w:rsid w:val="002419AD"/>
    <w:rsid w:val="00275FD9"/>
    <w:rsid w:val="002823B1"/>
    <w:rsid w:val="002A307B"/>
    <w:rsid w:val="002B3A74"/>
    <w:rsid w:val="002C722C"/>
    <w:rsid w:val="002C7B3B"/>
    <w:rsid w:val="002E2901"/>
    <w:rsid w:val="002E6437"/>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C23FE"/>
    <w:rsid w:val="003D2CB2"/>
    <w:rsid w:val="003E4307"/>
    <w:rsid w:val="004132AB"/>
    <w:rsid w:val="00416CFA"/>
    <w:rsid w:val="00424424"/>
    <w:rsid w:val="00436E9B"/>
    <w:rsid w:val="004578B7"/>
    <w:rsid w:val="004619B3"/>
    <w:rsid w:val="004701E2"/>
    <w:rsid w:val="00495C82"/>
    <w:rsid w:val="004B4980"/>
    <w:rsid w:val="004C5FB5"/>
    <w:rsid w:val="004D1CC8"/>
    <w:rsid w:val="004D254F"/>
    <w:rsid w:val="004E5AA4"/>
    <w:rsid w:val="004F0DB9"/>
    <w:rsid w:val="00502685"/>
    <w:rsid w:val="00520285"/>
    <w:rsid w:val="00540B2E"/>
    <w:rsid w:val="005625B7"/>
    <w:rsid w:val="00566CF0"/>
    <w:rsid w:val="00575B7B"/>
    <w:rsid w:val="00585913"/>
    <w:rsid w:val="005904A8"/>
    <w:rsid w:val="00591FCA"/>
    <w:rsid w:val="00593361"/>
    <w:rsid w:val="005E13E5"/>
    <w:rsid w:val="005F6076"/>
    <w:rsid w:val="0060329C"/>
    <w:rsid w:val="00630AE6"/>
    <w:rsid w:val="0064375C"/>
    <w:rsid w:val="00660156"/>
    <w:rsid w:val="00666244"/>
    <w:rsid w:val="0066661B"/>
    <w:rsid w:val="006A12BE"/>
    <w:rsid w:val="006B1D41"/>
    <w:rsid w:val="006D7F67"/>
    <w:rsid w:val="006E1600"/>
    <w:rsid w:val="006F4947"/>
    <w:rsid w:val="006F7935"/>
    <w:rsid w:val="00707C27"/>
    <w:rsid w:val="00720FEC"/>
    <w:rsid w:val="00774585"/>
    <w:rsid w:val="00786773"/>
    <w:rsid w:val="00787124"/>
    <w:rsid w:val="007A3897"/>
    <w:rsid w:val="007A762F"/>
    <w:rsid w:val="007C19F9"/>
    <w:rsid w:val="007F5D89"/>
    <w:rsid w:val="007F790C"/>
    <w:rsid w:val="007F7A29"/>
    <w:rsid w:val="00803FB7"/>
    <w:rsid w:val="0081472A"/>
    <w:rsid w:val="00860B6A"/>
    <w:rsid w:val="008655CA"/>
    <w:rsid w:val="00866076"/>
    <w:rsid w:val="008666E6"/>
    <w:rsid w:val="00866C21"/>
    <w:rsid w:val="00867D8B"/>
    <w:rsid w:val="0087402B"/>
    <w:rsid w:val="00891BC0"/>
    <w:rsid w:val="008A7C14"/>
    <w:rsid w:val="008A7EAF"/>
    <w:rsid w:val="008B0E39"/>
    <w:rsid w:val="008B572F"/>
    <w:rsid w:val="008B7336"/>
    <w:rsid w:val="008C2237"/>
    <w:rsid w:val="008C7464"/>
    <w:rsid w:val="008E70E1"/>
    <w:rsid w:val="008F2921"/>
    <w:rsid w:val="008F5D72"/>
    <w:rsid w:val="009107B5"/>
    <w:rsid w:val="00921144"/>
    <w:rsid w:val="009225AB"/>
    <w:rsid w:val="00942541"/>
    <w:rsid w:val="00977597"/>
    <w:rsid w:val="00987BA1"/>
    <w:rsid w:val="00993041"/>
    <w:rsid w:val="009A5F8D"/>
    <w:rsid w:val="009A6070"/>
    <w:rsid w:val="009B4E54"/>
    <w:rsid w:val="009C2206"/>
    <w:rsid w:val="009E3265"/>
    <w:rsid w:val="009E342F"/>
    <w:rsid w:val="00A207B9"/>
    <w:rsid w:val="00A275C1"/>
    <w:rsid w:val="00A405EF"/>
    <w:rsid w:val="00A42B3C"/>
    <w:rsid w:val="00A83FF7"/>
    <w:rsid w:val="00AD4A57"/>
    <w:rsid w:val="00AD5AAD"/>
    <w:rsid w:val="00AF4F41"/>
    <w:rsid w:val="00B0551B"/>
    <w:rsid w:val="00B121B4"/>
    <w:rsid w:val="00B128B9"/>
    <w:rsid w:val="00B22899"/>
    <w:rsid w:val="00B32147"/>
    <w:rsid w:val="00B433D4"/>
    <w:rsid w:val="00B52465"/>
    <w:rsid w:val="00B9045B"/>
    <w:rsid w:val="00B95F99"/>
    <w:rsid w:val="00BD7621"/>
    <w:rsid w:val="00BD7A4B"/>
    <w:rsid w:val="00BF0799"/>
    <w:rsid w:val="00C10EE7"/>
    <w:rsid w:val="00C15929"/>
    <w:rsid w:val="00C15F4C"/>
    <w:rsid w:val="00C27676"/>
    <w:rsid w:val="00C404DD"/>
    <w:rsid w:val="00C410A3"/>
    <w:rsid w:val="00C42655"/>
    <w:rsid w:val="00C43B02"/>
    <w:rsid w:val="00C47771"/>
    <w:rsid w:val="00C53627"/>
    <w:rsid w:val="00C61E47"/>
    <w:rsid w:val="00C65C60"/>
    <w:rsid w:val="00C67A65"/>
    <w:rsid w:val="00C72E05"/>
    <w:rsid w:val="00CB2479"/>
    <w:rsid w:val="00CB6441"/>
    <w:rsid w:val="00CE543F"/>
    <w:rsid w:val="00D11CD4"/>
    <w:rsid w:val="00D37989"/>
    <w:rsid w:val="00D40AC4"/>
    <w:rsid w:val="00D41FC4"/>
    <w:rsid w:val="00D53B5B"/>
    <w:rsid w:val="00D629E7"/>
    <w:rsid w:val="00D7598D"/>
    <w:rsid w:val="00D77EB0"/>
    <w:rsid w:val="00D93779"/>
    <w:rsid w:val="00DA16C1"/>
    <w:rsid w:val="00DA3E3A"/>
    <w:rsid w:val="00DA444D"/>
    <w:rsid w:val="00DA5C28"/>
    <w:rsid w:val="00DD2F1D"/>
    <w:rsid w:val="00DD61FB"/>
    <w:rsid w:val="00DD66AB"/>
    <w:rsid w:val="00DE4B74"/>
    <w:rsid w:val="00DF6730"/>
    <w:rsid w:val="00E11DCB"/>
    <w:rsid w:val="00E20C2A"/>
    <w:rsid w:val="00E32821"/>
    <w:rsid w:val="00E328E0"/>
    <w:rsid w:val="00E542AF"/>
    <w:rsid w:val="00E55026"/>
    <w:rsid w:val="00E5621E"/>
    <w:rsid w:val="00E621CF"/>
    <w:rsid w:val="00E706EB"/>
    <w:rsid w:val="00E73F17"/>
    <w:rsid w:val="00E77587"/>
    <w:rsid w:val="00EA53B2"/>
    <w:rsid w:val="00ED3E74"/>
    <w:rsid w:val="00EE162F"/>
    <w:rsid w:val="00EE5E52"/>
    <w:rsid w:val="00F137BA"/>
    <w:rsid w:val="00F15C1D"/>
    <w:rsid w:val="00F26FB0"/>
    <w:rsid w:val="00F3280D"/>
    <w:rsid w:val="00F449F8"/>
    <w:rsid w:val="00F44DA4"/>
    <w:rsid w:val="00F57868"/>
    <w:rsid w:val="00F6487B"/>
    <w:rsid w:val="00F81A9D"/>
    <w:rsid w:val="00F854BB"/>
    <w:rsid w:val="00FA17E0"/>
    <w:rsid w:val="00FA2D93"/>
    <w:rsid w:val="00FC1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E5E52"/>
    <w:pPr>
      <w:keepNext/>
      <w:keepLines/>
      <w:spacing w:before="120" w:after="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E5E52"/>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12</cp:revision>
  <cp:lastPrinted>2023-05-05T15:20:00Z</cp:lastPrinted>
  <dcterms:created xsi:type="dcterms:W3CDTF">2023-05-24T12:47:00Z</dcterms:created>
  <dcterms:modified xsi:type="dcterms:W3CDTF">2023-05-30T16:53:00Z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id="8Hq7gTTR"/&gt;&lt;style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