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  <w:color w:val="4a86e8"/>
        </w:rPr>
      </w:pPr>
      <w:r w:rsidDel="00000000" w:rsidR="00000000" w:rsidRPr="00000000">
        <w:rPr>
          <w:rFonts w:ascii="Montserrat" w:cs="Montserrat" w:eastAsia="Montserrat" w:hAnsi="Montserrat"/>
          <w:color w:val="4a86e8"/>
          <w:rtl w:val="0"/>
        </w:rPr>
        <w:t xml:space="preserve">Wire Tracking Center: Product Requirements Document (PRD)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Document 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1. Executive Summary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Wire Tracking Center is a new, dedicated module within the Online Treasury Channel designed to provide corporate clients with unprecedented visibility into their wire lifecycles. This feature acts as a comprehensive, self-service tracking and exception-management hub. It empowers clients with end-to-end status visibility (domestic and international), predictive operational insights, and actionable workflows for held or returned transactions.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capability will sit alongside existing core features such as Balances, Payments &amp; Transfers, FX Global, Reporting &amp; Analytics, and Security &amp; Administration.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2. Core Objectives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Reduce client support inquiries by providing transparent, real-time wire statuses.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Improve client experience through modern, intuitive UI (e.g., FedEx-style package tracking).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Expedite the resolution of held and returned wires by allowing client self-service and approvals.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Provide greater transparency into international payments utilizing SWIFT gpi data.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 Detailed Capability Requirements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3.1. Dashboard and Executive Summary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landing page of the Wire Tracking Center must provide clients with immediate situational awareness of their daily wire activity.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REQ-DB-01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Aggregate Metrics Display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The dashboard must display the total number of transactions and the aggregated dollar ($) value categorized by: Outgoing Wires, Incoming Wires Today, Pending Review, and International in Transit.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REQ-DB-02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Wire Insights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The system shall display contextual operational intelligence based on historical and system data. Examples include: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"Beneficiary typically moves funds within 4 hours"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or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"92% of [Currency] wires are typically completed within the same day."</w:t>
            </w:r>
          </w:p>
        </w:tc>
      </w:tr>
    </w:tbl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3.2. Search, Filtration, and Transaction Details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Clients require robust tools to quickly locate specific transactions and view granular details.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REQ-SF-01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Multi-Parametric Search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Users must be able to search for wires using the following parameters: Wire ID, Confirmation Number, Beneficiary Name, Amount, Originator, Account Number, or SWIFT Reference.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REQ-SF-02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Dynamic Filtering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The view must be filterable by Date/Date Range, Wire Type (e.g., Domestic, International), and Execution Status (e.g., Settled, Pending, Held).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REQ-SF-03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Comprehensive Record View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Clicking into a specific wire must display complete transaction metadata, including: Status, Direction (In/Out), Amount, Beneficiary Details, Account Details, SWIFT Reference, Submitted Time, and Last Updated Time.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REQ-SF-04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Detailed Fee Breakdown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The transaction record must display a comprehensive fee breakdown, clearly delineating: Originating Bank Fee, Intermediary Bank Fee(s), and Beneficiary Bank Fee.</w:t>
            </w:r>
          </w:p>
        </w:tc>
      </w:tr>
    </w:tbl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3.3. Journey Tracking &amp; SWIFT gpi Integration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system must translate complex banking statuses into easy-to-understand visual timelines for the client.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REQ-JT-01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FedEx-Style Progress Bar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Domestic wires must display a visual milestone timeline showing at least the following stages: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Wire Submitted → Wire Approved → Bank Received → Confirmation Number Generated → Settled.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Note: Backend development is required to surface the final "Settled" state to the front 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REQ-JT-02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SWIFT gpi Route Visualization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i w:val="1"/>
                <w:i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For international wires, the UI must embed a SWIFT gpi tracking visualization showing the exact route: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rtl w:val="0"/>
              </w:rPr>
              <w:t xml:space="preserve">Originated → SWIFT Sent → Intermediary Node(s) → Beneficiary Bank → Delivered.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REQ-JT-03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Global Route Insights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The international tracking view must display specific insights, including the number of intermediary banks involved, currency-specific completion rates, and historical fees incurred by the recipient.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3.4. Exception Management: Held and Returned Wires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Clients must be able to interact with wires that are delayed or blocked, reducing the need for manual bank intervention.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REQ-EX-01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Held Wire Review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 dedicated view for wires requiring client review. This view must display reasons for the hold.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CRITICAL SECURITY REQUIREMENT: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The system must suppress sensitive trigger reasons (e.g., potential fraud or compromised credentials) to prevent tipping off bad actors. The copy surfaced to the client must be carefully vetted.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REQ-EX-02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Held Wire Client Action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Clients must be able to securely take action on held wires, specifically to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Confirm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(authorize release) or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Reject</w:t>
            </w: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 the transaction directly from the UI.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REQ-EX-03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Risk &amp; Release Insights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Upon taking an action (Confirm/Reject), the system should display predictive insights regarding the time to completion or the subsequent steps in the cancellation process.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REQ-EX-04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Returned Wire Details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 dedicated view for returned wires, providing identical tracking fidelity as standard wires, plus specific return reasons, root-cause insights, and recommended resolution steps.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3.5. Self-Service, Support, and Subscriptions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Tools designed to proactively inform clients and allow them to share status updates with stakeholders.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Requirement ID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Feature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REQ-SS-01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Contextual "Explain Delays"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 clickable feature that surfaces contextual FAQs and information based on the current delayed status or stage of the wire.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REQ-SS-02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Contact Support Escalation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A persistent "Contact Support" button linked to the client's relationship manager or treasury support desk.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REQ-SS-03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Report Export &amp; Status Sharing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Users must have a one-click capability to download tracking reports (including SWIFT gpi reports) and securely share the live tracking status with the recipient/counterparty.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REQ-SS-04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Item-Specific Subscriptions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Clients must be able to subscribe to a specific wire and receive a notification (e.g., "Notify me when released" or "Notify me when settled").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REQ-SS-05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Global Alerts &amp; Notifications Engine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rtl w:val="0"/>
              </w:rPr>
              <w:t xml:space="preserve">Clients must be able to subscribe to category-level alerts, including Outgoing (Released, Receipt Confirmed, Settled, Returned), Incoming, and International.</w:t>
            </w:r>
          </w:p>
        </w:tc>
      </w:tr>
    </w:tbl>
    <w:p w:rsidR="00000000" w:rsidDel="00000000" w:rsidP="00000000" w:rsidRDefault="00000000" w:rsidRPr="00000000" w14:paraId="0000005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4. Technical and Backend Considerations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Settlement Status: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Significant backend integration is required to accurately surface the final "Settled" status to the client-facing UI, as this data is not currently available in the underlying systems.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SWIFT API Integration: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Real-time integration with SWIFT gpi APIs is required for the route visualization and international timeline requirements.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Fraud Rule Mapping: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 strict mapping protocol must be established between internal fraud/risk hold codes and external, client-safe hold reasons.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