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b5n23yrkqh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Joe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Reliability Engineering Manager (SRE Manager)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0" w:line="276" w:lineRule="auto"/>
        <w:jc w:val="center"/>
        <w:rPr>
          <w:rFonts w:ascii="Source Code Pro" w:cs="Source Code Pro" w:eastAsia="Source Code Pro" w:hAnsi="Source Code Pro"/>
          <w:color w:val="000000"/>
        </w:rPr>
      </w:pPr>
      <w:bookmarkStart w:colFirst="0" w:colLast="0" w:name="_z3tn4y5t95pg" w:id="1"/>
      <w:bookmarkEnd w:id="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310.903.8312 |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joe@joe-r.net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linkedin: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go2joerogers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Torrance, CA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6eyp2146to9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Reliability Engineering Manager (SRE Manager) with 20+ years across on‑prem to AWS, leading teams to modernize platforms with Infrastructure as Code (IaC) (Terraform/Ansible), containers (ECS/EKS/Fargate, Docker), GitLab CI, and observability (Datadog/Splunk). Currently driving AI/LLM adoption (Bedrock, internal LLM tools, code assistants) to accelerate delivery. Cut release lead time from 1 day to 1 hour, new app spin‑up from 2 weeks to 2 days, and migrated 50+ services from EC2 to ECS. Passionate about coaching SREs, DORA metrics, and cost/MTTR reduction.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pr0mc77b967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rPr>
          <w:sz w:val="46"/>
          <w:szCs w:val="46"/>
        </w:rPr>
      </w:pPr>
      <w:bookmarkStart w:colFirst="0" w:colLast="0" w:name="_ph1a3sfbga3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Cloud: AWS (ECS (Elastic Container Service), EKS (Elastic Kubernetes Service), Fargate, EC2, ASG (Auto Scaling Groups), ACM, Multi-region / Multi-account IAM, Network VPC, Security Groups, Cloudfront, Route 53, Bedrock), Cloudflare</w:t>
        <w:br w:type="textWrapping"/>
        <w:t xml:space="preserve">IaC &amp; Config: Terraform, Ansible, Puppet</w:t>
        <w:br w:type="textWrapping"/>
        <w:t xml:space="preserve">Security: NIST, Orca, Datadog, Pen Tests, Compliance</w:t>
        <w:br w:type="textWrapping"/>
        <w:t xml:space="preserve">Containers &amp; Orchestration: Docker, ECS, EKS, Kubernetes</w:t>
        <w:br w:type="textWrapping"/>
        <w:t xml:space="preserve">CI/CD: GitLab CI, Gitlab Runners, CodePipeline/Build/Deploy, Jenkins</w:t>
        <w:br w:type="textWrapping"/>
        <w:t xml:space="preserve">Observability: Datadog, Splunk, Prometheus, Grafana</w:t>
        <w:br w:type="textWrapping"/>
        <w:t xml:space="preserve">Languages &amp; Tools: Python, Bash, VSCode, Cline, Copilot</w:t>
        <w:br w:type="textWrapping"/>
        <w:t xml:space="preserve">AI/LLM: Bedrock, OpenAI, Claude, Gemini, Perplexity</w:t>
        <w:br w:type="textWrapping"/>
        <w:t xml:space="preserve">Leadership: Hiring, mentoring, incident management, SLOs/Error Budgets, DORA metrics, Jira, Agile,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jc w:val="center"/>
        <w:rPr>
          <w:rFonts w:ascii="Lexend" w:cs="Lexend" w:eastAsia="Lexend" w:hAnsi="Lexend"/>
          <w:color w:val="000000"/>
        </w:rPr>
      </w:pPr>
      <w:bookmarkStart w:colFirst="0" w:colLast="0" w:name="_kygadc18fxrx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Lexend" w:cs="Lexend" w:eastAsia="Lexend" w:hAnsi="Lexend"/>
          <w:i w:val="1"/>
          <w:color w:val="000000"/>
          <w:sz w:val="20"/>
          <w:szCs w:val="20"/>
        </w:rPr>
      </w:pPr>
      <w:bookmarkStart w:colFirst="0" w:colLast="0" w:name="_y7xnv5wx2yx3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Site Reliability Engineer Manager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Drove a major modernization initiative to containerize 50+ services from EC2 to ECS/Fargate, replatform CI/CD from AWS CodePipeline to GitLab CI, and migrate from self-hosted GitLab to GitLab Cloud Ultimate. Enabled shift-left testing, reusable pipelines, and AI-assisted reviews. Reduced new-service bootstrap from 14 to 2 days (‑86%) and release lead time from 24h to 1h (‑95%), while cutting infra and tooling costs 50% and standardizing deployments org-wide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Championed strategic cost optimization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by actively managing AWS budgets, accurately forecasting usage, and recommending Savings Plans and Reserved Instances, consistently keeping infrastructure costs under budget and unlocking funds for innovation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a team of seven engineers to implement Infrastructure as Code (IaC) using Terraform, Gitlab CI and Gitlab Runners, resulting in a 70% improvement in deployment efficiency and ensuring consistent environment configurations across multiple projects.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the re-architecture of Disaster Recovery tooling to align with modern CI/CD workflows, ensuring automated failover readiness and resilience as part of our cloud-native transformation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Spearheaded migration of Infrastructure as Code tooling from end-of-life CentOS 7 to long-term support AlmaLinux, ensuring platform stability, security compliance, and future-proofing critical automation workflows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Initiated deployment of automated patching using TuxCare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enabling live kernel patching with zero reboots to enhance security posture—project was in progress at the time of role transition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internal python pydanticAI AWS Bedrock backed Slack Bot with a custom AWS Infra MCP server, championed AI code assistant tools, LLM adoption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led hands-on workshop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upskill the team on containerization and orchestration, including Dockerizing Java apps, deploying to ECS, and running Kubernetes workloads. Created tailored labs and Terraform-powered Atlantis sandboxes for each engineer to practice in isolated, reproducible environments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sdx5z4kxrnvz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Principal System Administrator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2019 -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Architected a multi-account, multi-region AWS infrastructure in collaboration with AWS Solutions Architects, hosting all production, QA, and development environments—including a pilot light disaster recovery setup for high availability and resilience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Saved $2 million in VMWare hardware renewal costs by migrating 500 datacenter hosted VMWare VMs to AWS EC2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12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Executed annual live Disaster Recovery failover tests, seamlessly shifting 100% of client traffic to DR infrastructure to validate business continuity plans and meet insurance and contractual compliance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observability metrics, right sized our applications to dramatically reduced AWS costs by over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Increased code deployment from once a week to once a day by migrating from Jenkins to Terraform module based AWS CI/CD Code Pipeline / Code Build / Code Deploy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GitOps adoption and Terraform standardization to enforce Infrastructure as Code best practices—eliminating one-off deployments, increasing reliability, and ensuring consistent, repeatable infrastructure across all environments</w:t>
      </w:r>
    </w:p>
    <w:p w:rsidR="00000000" w:rsidDel="00000000" w:rsidP="00000000" w:rsidRDefault="00000000" w:rsidRPr="00000000" w14:paraId="00000019">
      <w:pPr>
        <w:pageBreakBefore w:val="0"/>
        <w:shd w:fill="auto" w:val="clear"/>
        <w:spacing w:after="0" w:before="0" w:line="288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v5obt5ia97x5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Lowermybills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2013 -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Designed and built a highly available, bare-metal Kubernetes cluster with multi-master and multi-worker nodes, backed by NAS storage, and Cisco 10G switches. Deployed production-grade applications using Jenkins pipelines with real-world traffic and load profiles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Provisioned VMware-based Kubernetes clusters on vSphere using tools such as KOPS, Kubespray, and Terraform to support scalable, repeatable development environments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Complete data center migration from one colo to another (again) with only a few hours of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Migrated infrastructure to Cisco UCS VSphere VMWare clusters and scaled to 1,000+ VMs, maintaining five parallel project environments in sync with production to accelerate development and support key business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Built automation tooling with Ansible to manage 1,000+ VMs—configuring security, user access, Splunk-based application logging, Nagios monitoring, and maintaining VMware agents—ensuring consistent, compliant environments across all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lmy3esq2swo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Experian Interactive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Culver City,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Maintained 100% uptime during 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00-server datacenter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Deployed Red Hat Satellite patching across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8"/>
          <w:szCs w:val="18"/>
          <w:rtl w:val="0"/>
        </w:rPr>
        <w:t xml:space="preserve"> servers and instituted a monthly staged patching cycle across Dev → QA → Stage →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Consolidated DNS infrastructure to BIND 9 (primary/secondary) with zero downtime; migrated back office DNS from Microsoft AD to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mplemented VMWare with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self managed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ESX hosts to deliver scalable Stage/QA/DEV/ENG environments, leveraging P2V, cloning, LVM, and templates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12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Introduced Puppet for configuration management, enabling consistent provisioning and lifecycle management of VMs across environments, reducing manual effort and configuration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du8nc8gu96o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Time Warner Cable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Orange,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Jun 2001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Administered a large-scale Solaris and Red Hat environment, ensuring high availability and performance across critical infrastructure powering internet access for cable modem customers.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Maintained and supported essential customer-facing services including DNS, NFS, LDAP, and Sendmail—delivering always-on, utility-grade reliability for primary email and connectivity needs.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deployed proactive monitoring and automation scripts, significantly reducing mean time to resolution (MTTR) and preventing service disruptions.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Contributed to disaster recovery planning and testing, ensuring business continuity and rapid recovery of customer-impacting services in the event of outages.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66hmv6gk0rdd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Sun Microsystems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Santa Clara,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Adminstrator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Apr 2000 - Jun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Managed Solaris systems and enterprise hardware across engineering environments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operational support for development workflows and production-like test environments</w:t>
      </w:r>
    </w:p>
    <w:p w:rsidR="00000000" w:rsidDel="00000000" w:rsidP="00000000" w:rsidRDefault="00000000" w:rsidRPr="00000000" w14:paraId="0000002E">
      <w:pPr>
        <w:spacing w:after="0" w:before="1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0" w:firstLine="0"/>
        <w:jc w:val="center"/>
        <w:rPr>
          <w:rFonts w:ascii="Lexend" w:cs="Lexend" w:eastAsia="Lexend" w:hAnsi="Lexend"/>
          <w:color w:val="000000"/>
        </w:rPr>
      </w:pPr>
      <w:bookmarkStart w:colFirst="0" w:colLast="0" w:name="_x4rbgi1nuax8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5.0" w:type="dxa"/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UCLA, Los Angeles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hd w:fill="auto" w:val="clear"/>
        <w:spacing w:after="0" w:before="120" w:line="288" w:lineRule="auto"/>
        <w:ind w:left="-15" w:firstLine="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oe@joe-r.net" TargetMode="External"/><Relationship Id="rId7" Type="http://schemas.openxmlformats.org/officeDocument/2006/relationships/hyperlink" Target="https://www.linkedin.com/in/go2joeroger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swald-regular.ttf"/><Relationship Id="rId12" Type="http://schemas.openxmlformats.org/officeDocument/2006/relationships/font" Target="fonts/Lexend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NotoSansSymbols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