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Besprechungsprotokoll vom 05.10.2026</w:t>
      </w:r>
    </w:p>
    <w:p>
      <w:pPr>
        <w:spacing w:after="0"/>
      </w:pPr>
      <w:r>
        <w:rPr>
          <w:b/>
        </w:rPr>
        <w:t xml:space="preserve">Thema: </w:t>
      </w:r>
      <w:r>
        <w:t>Vergabe LP 8, GU-Preisrisiken, Leistungsverzeichnisse, Budget und Terminplan</w:t>
      </w:r>
    </w:p>
    <w:p>
      <w:pPr>
        <w:spacing w:after="0"/>
      </w:pPr>
      <w:r>
        <w:rPr>
          <w:b/>
        </w:rPr>
        <w:t xml:space="preserve">Datum: </w:t>
      </w:r>
      <w:r>
        <w:t>05.10.2026</w:t>
      </w:r>
    </w:p>
    <w:p>
      <w:pPr>
        <w:spacing w:after="0"/>
      </w:pPr>
      <w:r>
        <w:rPr>
          <w:b/>
        </w:rPr>
        <w:t xml:space="preserve">Ort: </w:t>
      </w:r>
      <w:r>
        <w:t>[Ort ergänzen]</w:t>
      </w:r>
    </w:p>
    <w:p>
      <w:pPr>
        <w:spacing w:after="0"/>
      </w:pPr>
      <w:r>
        <w:rPr>
          <w:b/>
        </w:rPr>
        <w:t xml:space="preserve">Teilnehmer: </w:t>
      </w:r>
      <w:r>
        <w:t>Jörg Eberitzsch, [Teilnehmer 2], [Teilnehmer 3]</w:t>
      </w:r>
    </w:p>
    <w:p>
      <w:pPr>
        <w:spacing w:after="0"/>
      </w:pPr>
      <w:r>
        <w:rPr>
          <w:b/>
        </w:rPr>
        <w:t xml:space="preserve">Protokoll: </w:t>
      </w:r>
      <w:r>
        <w:t>Jörg Eberitzsch</w:t>
      </w:r>
    </w:p>
    <w:p>
      <w:pPr>
        <w:pStyle w:val="Heading1"/>
      </w:pPr>
      <w:r>
        <w:t>1. Status, Risiken und Vergabe der Leistungsphasen</w:t>
      </w:r>
    </w:p>
    <w:p>
      <w:pPr>
        <w:spacing w:before="120"/>
      </w:pPr>
      <w:r>
        <w:rPr>
          <w:b/>
        </w:rPr>
        <w:t>Beauftragung Leistungsphase 8</w:t>
      </w:r>
    </w:p>
    <w:p>
      <w:pPr>
        <w:pStyle w:val="ListBullet"/>
      </w:pPr>
      <w:r>
        <w:t>Bisher ist nur eine Beauftragung bis einschließlich Leistungsphase 7 erfolgt. Teile der LP 8 (nicht-konstruktiver Abbruch) wurden bereits als Einzelauftrag erbracht.</w:t>
      </w:r>
    </w:p>
    <w:p>
      <w:pPr>
        <w:pStyle w:val="ListBullet"/>
      </w:pPr>
      <w:r>
        <w:t>Intern ist zu prüfen, ob die LP 8 an ein anderes Büro als den Planer vergeben werden kann.</w:t>
      </w:r>
    </w:p>
    <w:p>
      <w:pPr>
        <w:pStyle w:val="ListBullet"/>
      </w:pPr>
      <w:r>
        <w:t>Herr Eberitzsch äußert starke Bedenken gegen diese Trennung und verweist auf negative Erfahrungen aus früheren Projekten. Der Planer, der die Ausschreibung erstellt, sollte auch die Umsetzung verantworten.</w:t>
      </w:r>
    </w:p>
    <w:p>
      <w:pPr>
        <w:spacing w:before="120"/>
      </w:pPr>
      <w:r>
        <w:rPr>
          <w:b/>
        </w:rPr>
        <w:t>Status und Risiken der GU-Preisabfrage</w:t>
      </w:r>
    </w:p>
    <w:p>
      <w:pPr>
        <w:pStyle w:val="ListBullet"/>
      </w:pPr>
      <w:r>
        <w:t>Die bisherige Ausschreibung beruhte auf unvollständigen Planungsunterlagen (Ausführungsplanung zu ca. 80 % fertig) und einer kurzen Angebotsfrist.</w:t>
      </w:r>
    </w:p>
    <w:p>
      <w:pPr>
        <w:pStyle w:val="ListBullet"/>
      </w:pPr>
      <w:r>
        <w:t>Die ersten Angebote lagen 25–30 % über der Kostenberechnung und konnten nur auf 15–20 % Abweichung reduziert werden.</w:t>
      </w:r>
    </w:p>
    <w:p>
      <w:pPr>
        <w:pStyle w:val="ListBullet"/>
      </w:pPr>
      <w:r>
        <w:t>Bei einer Pauschalvergabe auf dieser Basis besteht das Risiko, dass Bieter die Kosten später über Nachträge erhöhen. Das Risiko wird von Herrn Eberitzsch auf 20–30 % geschätzt, von Teilnehmer 2 sogar auf 50 %.</w:t>
      </w:r>
    </w:p>
    <w:p>
      <w:pPr>
        <w:spacing w:before="120"/>
      </w:pPr>
      <w:r>
        <w:rPr>
          <w:b/>
        </w:rPr>
        <w:t>Vergabeunterlagen und LV-Grundlagen</w:t>
      </w:r>
    </w:p>
    <w:p>
      <w:pPr>
        <w:pStyle w:val="ListBullet"/>
      </w:pPr>
      <w:r>
        <w:t>Vorhanden sind Einzellos-LVs, die den Bietern als Blankette vorliegen.</w:t>
      </w:r>
    </w:p>
    <w:p>
      <w:pPr>
        <w:pStyle w:val="ListBullet"/>
      </w:pPr>
      <w:r>
        <w:t>Die LVs für Elektro und HLS beruhen nur auf Kurztexten und einer wenig fortgeschrittenen Planung. Darin liegt ein erhebliches Risiko.</w:t>
      </w:r>
    </w:p>
    <w:p>
      <w:pPr>
        <w:pStyle w:val="ListBullet"/>
      </w:pPr>
      <w:r>
        <w:t>Die Ausschreibung ist funktional angelegt, ohne detaillierte Mengenangaben und Einheitspreise.</w:t>
      </w:r>
    </w:p>
    <w:p>
      <w:pPr>
        <w:spacing w:before="120"/>
      </w:pPr>
      <w:r>
        <w:rPr>
          <w:b/>
        </w:rPr>
        <w:t>Koordination der Gewerkeaufteilung</w:t>
      </w:r>
    </w:p>
    <w:p>
      <w:pPr>
        <w:pStyle w:val="ListBullet"/>
      </w:pPr>
      <w:r>
        <w:t>Das Innenlos wurde zwischen ASI (TGA) und Implenia (Innenausbau) aufgeteilt. B&amp;O ist für die äußeren Arbeiten zuständig.</w:t>
      </w:r>
    </w:p>
    <w:p>
      <w:pPr>
        <w:pStyle w:val="ListBullet"/>
      </w:pPr>
      <w:r>
        <w:t>ASI ist für Baustrom und Bauwasser verantwortlich. Implenia übergibt hierzu eine Anforderungsliste.</w:t>
      </w:r>
    </w:p>
    <w:p>
      <w:pPr>
        <w:pStyle w:val="ListBullet"/>
      </w:pPr>
      <w:r>
        <w:t>Die Aufteilung auf drei Lose birgt Koordinationsrisiken. Sie wurde gewählt, um Preisaufschläge zu vermeiden und das Mengen- und Terminrisiko bei den Firmen zu belassen.</w:t>
      </w:r>
    </w:p>
    <w:p>
      <w:pPr>
        <w:pStyle w:val="Heading1"/>
      </w:pPr>
      <w:r>
        <w:t>2. Budget, Kosten und Preissicherheit</w:t>
      </w:r>
    </w:p>
    <w:p>
      <w:pPr>
        <w:pStyle w:val="ListBullet"/>
      </w:pPr>
      <w:r>
        <w:rPr>
          <w:b/>
        </w:rPr>
        <w:t>Budget:</w:t>
      </w:r>
      <w:r>
        <w:t xml:space="preserve"> Trotz einer Erhöhung um 1,3 Mio. € besteht kein finanzieller Spielraum mehr. Kleinste Zusatzkosten führen bereits zu einem Defizit. Es besteht die Sorge vor schnellen, hohen Nachforderungen nach Baubeginn.</w:t>
      </w:r>
    </w:p>
    <w:p>
      <w:pPr>
        <w:pStyle w:val="ListBullet"/>
      </w:pPr>
      <w:r>
        <w:rPr>
          <w:b/>
        </w:rPr>
        <w:t>Preisspiegel:</w:t>
      </w:r>
      <w:r>
        <w:t xml:space="preserve"> Die Angebote von ASI und Implenia unterscheiden sich deutlich. Reduzierungen wurden bereits vorgenommen (u. a. Badewannen, Heizkörper, Entfall vollflächiger Spachtelung). Erhebliche Kostenrisiken bleiben bestehen.</w:t>
      </w:r>
    </w:p>
    <w:p>
      <w:pPr>
        <w:pStyle w:val="ListBullet"/>
      </w:pPr>
      <w:r>
        <w:rPr>
          <w:b/>
        </w:rPr>
        <w:t>Vertrags- und Preissicherheit:</w:t>
      </w:r>
      <w:r>
        <w:t xml:space="preserve"> Herr Eberitzsch fordert absolute Sicherheit bei Leistungsverzeichnissen und Angeboten. Ein zentrales Problem ist, dass die Bieter die Urkalkulation vor Auftragsvergabe nicht vorlegen. Dadurch ist die Prüfung von Nachträgen nicht möglich. Die Preisbindung der Angebote muss an den neuen, verschobenen Bauzeitplan angepasst werden.</w:t>
      </w:r>
    </w:p>
    <w:p>
      <w:pPr>
        <w:pStyle w:val="ListBullet"/>
      </w:pPr>
      <w:r>
        <w:rPr>
          <w:b/>
        </w:rPr>
        <w:t>Preisgestaltung:</w:t>
      </w:r>
      <w:r>
        <w:t xml:space="preserve"> Die Malerpreise eines Bieters (35 €/m²) liegen weit über dem Marktpreis (15–20 €/m²) und wurden als unseriös bewertet.</w:t>
      </w:r>
    </w:p>
    <w:p>
      <w:pPr>
        <w:pStyle w:val="ListBullet"/>
      </w:pPr>
      <w:r>
        <w:rPr>
          <w:b/>
        </w:rPr>
        <w:t>Balkonerweiterung:</w:t>
      </w:r>
      <w:r>
        <w:t xml:space="preserve"> Die Kosten liegen bei ca. 7.700 €/m². Die Wirtschaftlichkeit ist fraglich, da die Fläche nur zu 25 % auf die Miete umgelegt werden kann.</w:t>
      </w:r>
    </w:p>
    <w:p>
      <w:pPr>
        <w:pStyle w:val="Heading1"/>
      </w:pPr>
      <w:r>
        <w:t>3. Weiteres Vorgehen und Planung</w:t>
      </w:r>
    </w:p>
    <w:p>
      <w:pPr>
        <w:pStyle w:val="ListBullet"/>
      </w:pPr>
      <w:r>
        <w:rPr>
          <w:b/>
        </w:rPr>
        <w:t>LV-Erstellung:</w:t>
      </w:r>
      <w:r>
        <w:t xml:space="preserve"> Herr Eberitzsch schlägt vor, die Zeit für die Erstellung vollständiger Leistungsverzeichnisse zu nutzen, um eine solide Angebotsgrundlage zu schaffen. Dagegen sprechen der hohe interne Aufwand und die Rückverlagerung des Mengenrisikos auf den Auftraggeber.</w:t>
      </w:r>
    </w:p>
    <w:p>
      <w:pPr>
        <w:pStyle w:val="ListBullet"/>
      </w:pPr>
      <w:r>
        <w:rPr>
          <w:b/>
        </w:rPr>
        <w:t>Technische Planung:</w:t>
      </w:r>
      <w:r>
        <w:t xml:space="preserve"> Die Installationsschächte wirken zu groß und sollen auf knappere Belegung geprüft werden, um Wohnraum zu gewinnen. WPW erstellt einen koordinierten Leitungsplan, der mit Implenia und ASI abgestimmt wird. Zudem wird geprüft, ob die Dämmung innerhalb der Schachtwände bei bereits gedämmten Rohren erforderlich ist.</w:t>
      </w:r>
    </w:p>
    <w:p>
      <w:pPr>
        <w:pStyle w:val="ListBullet"/>
      </w:pPr>
      <w:r>
        <w:rPr>
          <w:b/>
        </w:rPr>
        <w:t>Türhöhen und Bodenaufbau EG:</w:t>
      </w:r>
      <w:r>
        <w:t xml:space="preserve"> Aufgrund der Fördermittelanforderungen und des erhöhten Bodenaufbaus sind im EG Rampen und Anpassungen bei den Türen nötig. Die Alternative mit Gussasphalt wurde wegen Mehrkosten von 200.000 € verworfen. Die Lösung mit Rampen bleibt bestehen.</w:t>
      </w:r>
    </w:p>
    <w:p>
      <w:pPr>
        <w:pStyle w:val="ListBullet"/>
      </w:pPr>
      <w:r>
        <w:rPr>
          <w:b/>
        </w:rPr>
        <w:t>Zeitplan und Bauablauf:</w:t>
      </w:r>
      <w:r>
        <w:t xml:space="preserve"> Auf eine teure Bauheizung (ca. 50.000 €) soll verzichtet und im Winter mit der Arbeitsvorbereitung gestartet werden. Der eigentliche Baubeginn mit den Rohbauarbeiten wird auf den 01.03. verlegt. Der Rahmenterminplan wird Vertragsbestandteil.</w:t>
      </w:r>
    </w:p>
    <w:p>
      <w:pPr>
        <w:pStyle w:val="ListBullet"/>
      </w:pPr>
      <w:r>
        <w:rPr>
          <w:b/>
        </w:rPr>
        <w:t>Planungsfreigabe:</w:t>
      </w:r>
      <w:r>
        <w:t xml:space="preserve"> Im Oktober findet eine Runde mit Sozial- und Hausmanagement statt, in der die Planung vorgestellt wird. Eine Woche später soll die formale Freigabe erfolgen, um späte Änderungen zu vermeiden.</w:t>
      </w:r>
    </w:p>
    <w:p>
      <w:pPr>
        <w:pStyle w:val="Heading1"/>
      </w:pPr>
      <w:r>
        <w:t>4. Qualitätssicherung, Dokumentation und Abrechnung</w:t>
      </w:r>
    </w:p>
    <w:p>
      <w:pPr>
        <w:pStyle w:val="ListBullet"/>
      </w:pPr>
      <w:r>
        <w:rPr>
          <w:b/>
        </w:rPr>
        <w:t>Fliesenarbeiten:</w:t>
      </w:r>
      <w:r>
        <w:t xml:space="preserve"> Wegen schwerer Mängel (u. a. Nichtbeachtung der Fliesenpläne) wurde der Rückbau von drei Bädern angeordnet. Bei Abweichungen ohne Abstimmung wird künftig konsequent Rückbau gefordert.</w:t>
      </w:r>
    </w:p>
    <w:p>
      <w:pPr>
        <w:pStyle w:val="ListBullet"/>
      </w:pPr>
      <w:r>
        <w:rPr>
          <w:b/>
        </w:rPr>
        <w:t>Abnahmen und Dokumentation:</w:t>
      </w:r>
      <w:r>
        <w:t xml:space="preserve"> Bei Sicherheit und Brandschutz gilt eine strenge Haltung. Gefordert sind Abnahmen vor dem Schließen von Wänden und Schächten sowie eine verpflichtende Fotodokumentation durch die Firmen. Die Bauleitung führt unangekündigte Stichprobenkontrollen durch.</w:t>
      </w:r>
    </w:p>
    <w:p>
      <w:pPr>
        <w:pStyle w:val="ListBullet"/>
      </w:pPr>
      <w:r>
        <w:rPr>
          <w:b/>
        </w:rPr>
        <w:t>Zahlungsmodalitäten:</w:t>
      </w:r>
      <w:r>
        <w:t xml:space="preserve"> Schlussrechnungen werden nur bei vollständiger Dokumentation und prüffähigen Aufmaßen bezahlt. Die Firmen legen bei Auftragserteilung einen Zahlungsplan vor, der sich am tatsächlichen Baufortschritt orientiert.</w:t>
      </w:r>
    </w:p>
    <w:p>
      <w:pPr>
        <w:pStyle w:val="ListBullet"/>
      </w:pPr>
      <w:r>
        <w:rPr>
          <w:b/>
        </w:rPr>
        <w:t>Fördermittel (BAFA/KfW):</w:t>
      </w:r>
      <w:r>
        <w:t xml:space="preserve"> Für die BEG-Förderung sind mindestens drei Angebote erforderlich. Förderfähige Leistungen sind in Ausschreibung, Verträgen und Rechnungen exakt abzugrenzen, damit eine saubere buchhalterische Abbildung und Nachweisführung möglich ist.</w:t>
      </w:r>
    </w:p>
    <w:p>
      <w:pPr>
        <w:pStyle w:val="ListBullet"/>
      </w:pPr>
      <w:r>
        <w:rPr>
          <w:b/>
        </w:rPr>
        <w:t>Datenablage:</w:t>
      </w:r>
      <w:r>
        <w:t xml:space="preserve"> Alle projektrelevanten Dokumente sind zentral in einer Cloud (z. B. OneDrive) abzulegen und nicht nur per E-Mail zu versenden.</w:t>
      </w:r>
    </w:p>
    <w:p>
      <w:pPr>
        <w:pStyle w:val="Heading1"/>
      </w:pPr>
      <w:r>
        <w:t>5. Vereinbarungen und nächste Schritte</w:t>
      </w:r>
    </w:p>
    <w:tbl>
      <w:tblPr>
        <w:tblStyle w:val="LightGrid-Accent1"/>
        <w:tblW w:type="auto" w:w="0"/>
        <w:jc w:val="center"/>
        <w:tblLayout w:type="fixed"/>
        <w:tblLook w:firstColumn="1" w:firstRow="1" w:lastColumn="0" w:lastRow="0" w:noHBand="0" w:noVBand="1" w:val="04A0"/>
      </w:tblPr>
      <w:tblGrid>
        <w:gridCol w:w="624"/>
        <w:gridCol w:w="5329"/>
        <w:gridCol w:w="1757"/>
        <w:gridCol w:w="1701"/>
      </w:tblGrid>
      <w:tr>
        <w:tc>
          <w:tcPr>
            <w:tcW w:type="dxa" w:w="624"/>
          </w:tcPr>
          <w:p>
            <w:r>
              <w:rPr>
                <w:sz w:val="19"/>
              </w:rPr>
            </w:r>
            <w:r>
              <w:rPr>
                <w:b/>
                <w:sz w:val="19"/>
              </w:rPr>
              <w:t>Nr.</w:t>
            </w:r>
          </w:p>
        </w:tc>
        <w:tc>
          <w:tcPr>
            <w:tcW w:type="dxa" w:w="5329"/>
          </w:tcPr>
          <w:p>
            <w:r>
              <w:rPr>
                <w:sz w:val="19"/>
              </w:rPr>
            </w:r>
            <w:r>
              <w:rPr>
                <w:b/>
                <w:sz w:val="19"/>
              </w:rPr>
              <w:t>Maßnahme</w:t>
            </w:r>
          </w:p>
        </w:tc>
        <w:tc>
          <w:tcPr>
            <w:tcW w:type="dxa" w:w="1757"/>
          </w:tcPr>
          <w:p>
            <w:r>
              <w:rPr>
                <w:sz w:val="19"/>
              </w:rPr>
            </w:r>
            <w:r>
              <w:rPr>
                <w:b/>
                <w:sz w:val="19"/>
              </w:rPr>
              <w:t>Verantwortlich</w:t>
            </w:r>
          </w:p>
        </w:tc>
        <w:tc>
          <w:tcPr>
            <w:tcW w:type="dxa" w:w="1701"/>
          </w:tcPr>
          <w:p>
            <w:r>
              <w:rPr>
                <w:sz w:val="19"/>
              </w:rPr>
            </w:r>
            <w:r>
              <w:rPr>
                <w:b/>
                <w:sz w:val="19"/>
              </w:rPr>
              <w:t>Termin</w:t>
            </w:r>
          </w:p>
        </w:tc>
      </w:tr>
      <w:tr>
        <w:tc>
          <w:tcPr>
            <w:tcW w:type="dxa" w:w="624"/>
          </w:tcPr>
          <w:p>
            <w:r>
              <w:rPr>
                <w:sz w:val="19"/>
              </w:rPr>
              <w:t>1</w:t>
            </w:r>
          </w:p>
        </w:tc>
        <w:tc>
          <w:tcPr>
            <w:tcW w:type="dxa" w:w="5329"/>
          </w:tcPr>
          <w:p>
            <w:r>
              <w:rPr>
                <w:sz w:val="19"/>
              </w:rPr>
              <w:t>Interne Entscheidung zur Vergabe der LP 8 weiterverfolgen</w:t>
            </w:r>
          </w:p>
        </w:tc>
        <w:tc>
          <w:tcPr>
            <w:tcW w:type="dxa" w:w="1757"/>
          </w:tcPr>
          <w:p>
            <w:r>
              <w:rPr>
                <w:sz w:val="19"/>
              </w:rPr>
              <w:t>J. Eberitzsch</w:t>
            </w:r>
          </w:p>
        </w:tc>
        <w:tc>
          <w:tcPr>
            <w:tcW w:type="dxa" w:w="1701"/>
          </w:tcPr>
          <w:p>
            <w:r>
              <w:rPr>
                <w:sz w:val="19"/>
              </w:rPr>
              <w:t>offen</w:t>
            </w:r>
          </w:p>
        </w:tc>
      </w:tr>
      <w:tr>
        <w:tc>
          <w:tcPr>
            <w:tcW w:type="dxa" w:w="624"/>
          </w:tcPr>
          <w:p>
            <w:r>
              <w:rPr>
                <w:sz w:val="19"/>
              </w:rPr>
              <w:t>2</w:t>
            </w:r>
          </w:p>
        </w:tc>
        <w:tc>
          <w:tcPr>
            <w:tcW w:type="dxa" w:w="5329"/>
          </w:tcPr>
          <w:p>
            <w:r>
              <w:rPr>
                <w:sz w:val="19"/>
              </w:rPr>
              <w:t>Mit der Vergabestelle klären, ob detaillierte LVs nachgereicht werden können (neue Angebotsgrundlage)</w:t>
            </w:r>
          </w:p>
        </w:tc>
        <w:tc>
          <w:tcPr>
            <w:tcW w:type="dxa" w:w="1757"/>
          </w:tcPr>
          <w:p>
            <w:r>
              <w:rPr>
                <w:sz w:val="19"/>
              </w:rPr>
              <w:t>offen</w:t>
            </w:r>
          </w:p>
        </w:tc>
        <w:tc>
          <w:tcPr>
            <w:tcW w:type="dxa" w:w="1701"/>
          </w:tcPr>
          <w:p>
            <w:r>
              <w:rPr>
                <w:sz w:val="19"/>
              </w:rPr>
              <w:t>offen</w:t>
            </w:r>
          </w:p>
        </w:tc>
      </w:tr>
      <w:tr>
        <w:tc>
          <w:tcPr>
            <w:tcW w:type="dxa" w:w="624"/>
          </w:tcPr>
          <w:p>
            <w:r>
              <w:rPr>
                <w:sz w:val="19"/>
              </w:rPr>
              <w:t>3</w:t>
            </w:r>
          </w:p>
        </w:tc>
        <w:tc>
          <w:tcPr>
            <w:tcW w:type="dxa" w:w="5329"/>
          </w:tcPr>
          <w:p>
            <w:r>
              <w:rPr>
                <w:sz w:val="19"/>
              </w:rPr>
              <w:t>Risiken der Gewerkeaufteilung neu bewerten und mit Herrn Hedrich besprechen</w:t>
            </w:r>
          </w:p>
        </w:tc>
        <w:tc>
          <w:tcPr>
            <w:tcW w:type="dxa" w:w="1757"/>
          </w:tcPr>
          <w:p>
            <w:r>
              <w:rPr>
                <w:sz w:val="19"/>
              </w:rPr>
              <w:t>J. Eberitzsch</w:t>
            </w:r>
          </w:p>
        </w:tc>
        <w:tc>
          <w:tcPr>
            <w:tcW w:type="dxa" w:w="1701"/>
          </w:tcPr>
          <w:p>
            <w:r>
              <w:rPr>
                <w:sz w:val="19"/>
              </w:rPr>
              <w:t>offen</w:t>
            </w:r>
          </w:p>
        </w:tc>
      </w:tr>
      <w:tr>
        <w:tc>
          <w:tcPr>
            <w:tcW w:type="dxa" w:w="624"/>
          </w:tcPr>
          <w:p>
            <w:r>
              <w:rPr>
                <w:sz w:val="19"/>
              </w:rPr>
              <w:t>4</w:t>
            </w:r>
          </w:p>
        </w:tc>
        <w:tc>
          <w:tcPr>
            <w:tcW w:type="dxa" w:w="5329"/>
          </w:tcPr>
          <w:p>
            <w:r>
              <w:rPr>
                <w:sz w:val="19"/>
              </w:rPr>
              <w:t>Urkalkulation von den Bietern vor Auftragserteilung einfordern</w:t>
            </w:r>
          </w:p>
        </w:tc>
        <w:tc>
          <w:tcPr>
            <w:tcW w:type="dxa" w:w="1757"/>
          </w:tcPr>
          <w:p>
            <w:r>
              <w:rPr>
                <w:sz w:val="19"/>
              </w:rPr>
              <w:t>offen</w:t>
            </w:r>
          </w:p>
        </w:tc>
        <w:tc>
          <w:tcPr>
            <w:tcW w:type="dxa" w:w="1701"/>
          </w:tcPr>
          <w:p>
            <w:r>
              <w:rPr>
                <w:sz w:val="19"/>
              </w:rPr>
              <w:t>vor Vergabe</w:t>
            </w:r>
          </w:p>
        </w:tc>
      </w:tr>
      <w:tr>
        <w:tc>
          <w:tcPr>
            <w:tcW w:type="dxa" w:w="624"/>
          </w:tcPr>
          <w:p>
            <w:r>
              <w:rPr>
                <w:sz w:val="19"/>
              </w:rPr>
              <w:t>5</w:t>
            </w:r>
          </w:p>
        </w:tc>
        <w:tc>
          <w:tcPr>
            <w:tcW w:type="dxa" w:w="5329"/>
          </w:tcPr>
          <w:p>
            <w:r>
              <w:rPr>
                <w:sz w:val="19"/>
              </w:rPr>
              <w:t>Bieter prüfen die Ausführungspläne und bestätigen schriftlich, dass alle Inhalte im Angebot preislich berücksichtigt sind</w:t>
            </w:r>
          </w:p>
        </w:tc>
        <w:tc>
          <w:tcPr>
            <w:tcW w:type="dxa" w:w="1757"/>
          </w:tcPr>
          <w:p>
            <w:r>
              <w:rPr>
                <w:sz w:val="19"/>
              </w:rPr>
              <w:t>Bieter</w:t>
            </w:r>
          </w:p>
        </w:tc>
        <w:tc>
          <w:tcPr>
            <w:tcW w:type="dxa" w:w="1701"/>
          </w:tcPr>
          <w:p>
            <w:r>
              <w:rPr>
                <w:sz w:val="19"/>
              </w:rPr>
              <w:t>vor Vergabe</w:t>
            </w:r>
          </w:p>
        </w:tc>
      </w:tr>
      <w:tr>
        <w:tc>
          <w:tcPr>
            <w:tcW w:type="dxa" w:w="624"/>
          </w:tcPr>
          <w:p>
            <w:r>
              <w:rPr>
                <w:sz w:val="19"/>
              </w:rPr>
              <w:t>6</w:t>
            </w:r>
          </w:p>
        </w:tc>
        <w:tc>
          <w:tcPr>
            <w:tcW w:type="dxa" w:w="5329"/>
          </w:tcPr>
          <w:p>
            <w:r>
              <w:rPr>
                <w:sz w:val="19"/>
              </w:rPr>
              <w:t>Preisbindung der Angebote an den neuen Bauzeitplan anpassen</w:t>
            </w:r>
          </w:p>
        </w:tc>
        <w:tc>
          <w:tcPr>
            <w:tcW w:type="dxa" w:w="1757"/>
          </w:tcPr>
          <w:p>
            <w:r>
              <w:rPr>
                <w:sz w:val="19"/>
              </w:rPr>
              <w:t>offen</w:t>
            </w:r>
          </w:p>
        </w:tc>
        <w:tc>
          <w:tcPr>
            <w:tcW w:type="dxa" w:w="1701"/>
          </w:tcPr>
          <w:p>
            <w:r>
              <w:rPr>
                <w:sz w:val="19"/>
              </w:rPr>
              <w:t>offen</w:t>
            </w:r>
          </w:p>
        </w:tc>
      </w:tr>
      <w:tr>
        <w:tc>
          <w:tcPr>
            <w:tcW w:type="dxa" w:w="624"/>
          </w:tcPr>
          <w:p>
            <w:r>
              <w:rPr>
                <w:sz w:val="19"/>
              </w:rPr>
              <w:t>7</w:t>
            </w:r>
          </w:p>
        </w:tc>
        <w:tc>
          <w:tcPr>
            <w:tcW w:type="dxa" w:w="5329"/>
          </w:tcPr>
          <w:p>
            <w:r>
              <w:rPr>
                <w:sz w:val="19"/>
              </w:rPr>
              <w:t>Detailliertes Bietergespräch zur Klärung aller offenen Punkte ansetzen</w:t>
            </w:r>
          </w:p>
        </w:tc>
        <w:tc>
          <w:tcPr>
            <w:tcW w:type="dxa" w:w="1757"/>
          </w:tcPr>
          <w:p>
            <w:r>
              <w:rPr>
                <w:sz w:val="19"/>
              </w:rPr>
              <w:t>offen</w:t>
            </w:r>
          </w:p>
        </w:tc>
        <w:tc>
          <w:tcPr>
            <w:tcW w:type="dxa" w:w="1701"/>
          </w:tcPr>
          <w:p>
            <w:r>
              <w:rPr>
                <w:sz w:val="19"/>
              </w:rPr>
              <w:t>offen</w:t>
            </w:r>
          </w:p>
        </w:tc>
      </w:tr>
      <w:tr>
        <w:tc>
          <w:tcPr>
            <w:tcW w:type="dxa" w:w="624"/>
          </w:tcPr>
          <w:p>
            <w:r>
              <w:rPr>
                <w:sz w:val="19"/>
              </w:rPr>
              <w:t>8</w:t>
            </w:r>
          </w:p>
        </w:tc>
        <w:tc>
          <w:tcPr>
            <w:tcW w:type="dxa" w:w="5329"/>
          </w:tcPr>
          <w:p>
            <w:r>
              <w:rPr>
                <w:sz w:val="19"/>
              </w:rPr>
              <w:t>WPW beauftragen: Mustergrundriss mit kompletter Schachtbelegung erstellen</w:t>
            </w:r>
          </w:p>
        </w:tc>
        <w:tc>
          <w:tcPr>
            <w:tcW w:type="dxa" w:w="1757"/>
          </w:tcPr>
          <w:p>
            <w:r>
              <w:rPr>
                <w:sz w:val="19"/>
              </w:rPr>
              <w:t>offen</w:t>
            </w:r>
          </w:p>
        </w:tc>
        <w:tc>
          <w:tcPr>
            <w:tcW w:type="dxa" w:w="1701"/>
          </w:tcPr>
          <w:p>
            <w:r>
              <w:rPr>
                <w:sz w:val="19"/>
              </w:rPr>
              <w:t>offen</w:t>
            </w:r>
          </w:p>
        </w:tc>
      </w:tr>
      <w:tr>
        <w:tc>
          <w:tcPr>
            <w:tcW w:type="dxa" w:w="624"/>
          </w:tcPr>
          <w:p>
            <w:r>
              <w:rPr>
                <w:sz w:val="19"/>
              </w:rPr>
              <w:t>9</w:t>
            </w:r>
          </w:p>
        </w:tc>
        <w:tc>
          <w:tcPr>
            <w:tcW w:type="dxa" w:w="5329"/>
          </w:tcPr>
          <w:p>
            <w:r>
              <w:rPr>
                <w:sz w:val="19"/>
              </w:rPr>
              <w:t>Koordinierten Leitungsplan zur fachlichen Prüfung an Implenia und ASI versenden</w:t>
            </w:r>
          </w:p>
        </w:tc>
        <w:tc>
          <w:tcPr>
            <w:tcW w:type="dxa" w:w="1757"/>
          </w:tcPr>
          <w:p>
            <w:r>
              <w:rPr>
                <w:sz w:val="19"/>
              </w:rPr>
              <w:t>offen</w:t>
            </w:r>
          </w:p>
        </w:tc>
        <w:tc>
          <w:tcPr>
            <w:tcW w:type="dxa" w:w="1701"/>
          </w:tcPr>
          <w:p>
            <w:r>
              <w:rPr>
                <w:sz w:val="19"/>
              </w:rPr>
              <w:t>nach Nr. 8</w:t>
            </w:r>
          </w:p>
        </w:tc>
      </w:tr>
      <w:tr>
        <w:tc>
          <w:tcPr>
            <w:tcW w:type="dxa" w:w="624"/>
          </w:tcPr>
          <w:p>
            <w:r>
              <w:rPr>
                <w:sz w:val="19"/>
              </w:rPr>
              <w:t>10</w:t>
            </w:r>
          </w:p>
        </w:tc>
        <w:tc>
          <w:tcPr>
            <w:tcW w:type="dxa" w:w="5329"/>
          </w:tcPr>
          <w:p>
            <w:r>
              <w:rPr>
                <w:sz w:val="19"/>
              </w:rPr>
              <w:t>Planerisch prüfen: Dämmung in Schachtwänden, Kernbohrungen statt großer Durchbrüche</w:t>
            </w:r>
          </w:p>
        </w:tc>
        <w:tc>
          <w:tcPr>
            <w:tcW w:type="dxa" w:w="1757"/>
          </w:tcPr>
          <w:p>
            <w:r>
              <w:rPr>
                <w:sz w:val="19"/>
              </w:rPr>
              <w:t>offen</w:t>
            </w:r>
          </w:p>
        </w:tc>
        <w:tc>
          <w:tcPr>
            <w:tcW w:type="dxa" w:w="1701"/>
          </w:tcPr>
          <w:p>
            <w:r>
              <w:rPr>
                <w:sz w:val="19"/>
              </w:rPr>
              <w:t>offen</w:t>
            </w:r>
          </w:p>
        </w:tc>
      </w:tr>
      <w:tr>
        <w:tc>
          <w:tcPr>
            <w:tcW w:type="dxa" w:w="624"/>
          </w:tcPr>
          <w:p>
            <w:r>
              <w:rPr>
                <w:sz w:val="19"/>
              </w:rPr>
              <w:t>11</w:t>
            </w:r>
          </w:p>
        </w:tc>
        <w:tc>
          <w:tcPr>
            <w:tcW w:type="dxa" w:w="5329"/>
          </w:tcPr>
          <w:p>
            <w:r>
              <w:rPr>
                <w:sz w:val="19"/>
              </w:rPr>
              <w:t>Termin für die Oktober-Runde mit Sozial- und Hausmanagement organisieren, Planung zur Freigabe präsentieren</w:t>
            </w:r>
          </w:p>
        </w:tc>
        <w:tc>
          <w:tcPr>
            <w:tcW w:type="dxa" w:w="1757"/>
          </w:tcPr>
          <w:p>
            <w:r>
              <w:rPr>
                <w:sz w:val="19"/>
              </w:rPr>
              <w:t>offen</w:t>
            </w:r>
          </w:p>
        </w:tc>
        <w:tc>
          <w:tcPr>
            <w:tcW w:type="dxa" w:w="1701"/>
          </w:tcPr>
          <w:p>
            <w:r>
              <w:rPr>
                <w:sz w:val="19"/>
              </w:rPr>
              <w:t>Oktober 2026</w:t>
            </w:r>
          </w:p>
        </w:tc>
      </w:tr>
      <w:tr>
        <w:tc>
          <w:tcPr>
            <w:tcW w:type="dxa" w:w="624"/>
          </w:tcPr>
          <w:p>
            <w:r>
              <w:rPr>
                <w:sz w:val="19"/>
              </w:rPr>
              <w:t>12</w:t>
            </w:r>
          </w:p>
        </w:tc>
        <w:tc>
          <w:tcPr>
            <w:tcW w:type="dxa" w:w="5329"/>
          </w:tcPr>
          <w:p>
            <w:r>
              <w:rPr>
                <w:sz w:val="19"/>
              </w:rPr>
              <w:t>Verbindliche Fliesenpläne kommunizieren, Abnahmeprozesse schärfen</w:t>
            </w:r>
          </w:p>
        </w:tc>
        <w:tc>
          <w:tcPr>
            <w:tcW w:type="dxa" w:w="1757"/>
          </w:tcPr>
          <w:p>
            <w:r>
              <w:rPr>
                <w:sz w:val="19"/>
              </w:rPr>
              <w:t>Bauleitung</w:t>
            </w:r>
          </w:p>
        </w:tc>
        <w:tc>
          <w:tcPr>
            <w:tcW w:type="dxa" w:w="1701"/>
          </w:tcPr>
          <w:p>
            <w:r>
              <w:rPr>
                <w:sz w:val="19"/>
              </w:rPr>
              <w:t>offen</w:t>
            </w:r>
          </w:p>
        </w:tc>
      </w:tr>
      <w:tr>
        <w:tc>
          <w:tcPr>
            <w:tcW w:type="dxa" w:w="624"/>
          </w:tcPr>
          <w:p>
            <w:r>
              <w:rPr>
                <w:sz w:val="19"/>
              </w:rPr>
              <w:t>13</w:t>
            </w:r>
          </w:p>
        </w:tc>
        <w:tc>
          <w:tcPr>
            <w:tcW w:type="dxa" w:w="5329"/>
          </w:tcPr>
          <w:p>
            <w:r>
              <w:rPr>
                <w:sz w:val="19"/>
              </w:rPr>
              <w:t>Vertragsklauseln festlegen: Zahlung nur bei vollständiger Dokumentation (inkl. Fotos), Prüffrist 3 Werktage</w:t>
            </w:r>
          </w:p>
        </w:tc>
        <w:tc>
          <w:tcPr>
            <w:tcW w:type="dxa" w:w="1757"/>
          </w:tcPr>
          <w:p>
            <w:r>
              <w:rPr>
                <w:sz w:val="19"/>
              </w:rPr>
              <w:t>offen</w:t>
            </w:r>
          </w:p>
        </w:tc>
        <w:tc>
          <w:tcPr>
            <w:tcW w:type="dxa" w:w="1701"/>
          </w:tcPr>
          <w:p>
            <w:r>
              <w:rPr>
                <w:sz w:val="19"/>
              </w:rPr>
              <w:t>offen</w:t>
            </w:r>
          </w:p>
        </w:tc>
      </w:tr>
      <w:tr>
        <w:tc>
          <w:tcPr>
            <w:tcW w:type="dxa" w:w="624"/>
          </w:tcPr>
          <w:p>
            <w:r>
              <w:rPr>
                <w:sz w:val="19"/>
              </w:rPr>
              <w:t>14</w:t>
            </w:r>
          </w:p>
        </w:tc>
        <w:tc>
          <w:tcPr>
            <w:tcW w:type="dxa" w:w="5329"/>
          </w:tcPr>
          <w:p>
            <w:r>
              <w:rPr>
                <w:sz w:val="19"/>
              </w:rPr>
              <w:t>Kostenvarianten Außenbereich (insb. Varianten 1 und 3) final bewerten</w:t>
            </w:r>
          </w:p>
        </w:tc>
        <w:tc>
          <w:tcPr>
            <w:tcW w:type="dxa" w:w="1757"/>
          </w:tcPr>
          <w:p>
            <w:r>
              <w:rPr>
                <w:sz w:val="19"/>
              </w:rPr>
              <w:t>offen</w:t>
            </w:r>
          </w:p>
        </w:tc>
        <w:tc>
          <w:tcPr>
            <w:tcW w:type="dxa" w:w="1701"/>
          </w:tcPr>
          <w:p>
            <w:r>
              <w:rPr>
                <w:sz w:val="19"/>
              </w:rPr>
              <w:t>offen</w:t>
            </w:r>
          </w:p>
        </w:tc>
      </w:tr>
      <w:tr>
        <w:tc>
          <w:tcPr>
            <w:tcW w:type="dxa" w:w="624"/>
          </w:tcPr>
          <w:p>
            <w:r>
              <w:rPr>
                <w:sz w:val="19"/>
              </w:rPr>
              <w:t>15</w:t>
            </w:r>
          </w:p>
        </w:tc>
        <w:tc>
          <w:tcPr>
            <w:tcW w:type="dxa" w:w="5329"/>
          </w:tcPr>
          <w:p>
            <w:r>
              <w:rPr>
                <w:sz w:val="19"/>
              </w:rPr>
              <w:t>Ablauf- und Zahlungsplan von den Auftragnehmern einfordern</w:t>
            </w:r>
          </w:p>
        </w:tc>
        <w:tc>
          <w:tcPr>
            <w:tcW w:type="dxa" w:w="1757"/>
          </w:tcPr>
          <w:p>
            <w:r>
              <w:rPr>
                <w:sz w:val="19"/>
              </w:rPr>
              <w:t>offen</w:t>
            </w:r>
          </w:p>
        </w:tc>
        <w:tc>
          <w:tcPr>
            <w:tcW w:type="dxa" w:w="1701"/>
          </w:tcPr>
          <w:p>
            <w:r>
              <w:rPr>
                <w:sz w:val="19"/>
              </w:rPr>
              <w:t>bei Beauftragung</w:t>
            </w:r>
          </w:p>
        </w:tc>
      </w:tr>
      <w:tr>
        <w:tc>
          <w:tcPr>
            <w:tcW w:type="dxa" w:w="624"/>
          </w:tcPr>
          <w:p>
            <w:r>
              <w:rPr>
                <w:sz w:val="19"/>
              </w:rPr>
              <w:t>16</w:t>
            </w:r>
          </w:p>
        </w:tc>
        <w:tc>
          <w:tcPr>
            <w:tcW w:type="dxa" w:w="5329"/>
          </w:tcPr>
          <w:p>
            <w:r>
              <w:rPr>
                <w:sz w:val="19"/>
              </w:rPr>
              <w:t>Mittelabflussprognose erstellen und laufend aktualisieren</w:t>
            </w:r>
          </w:p>
        </w:tc>
        <w:tc>
          <w:tcPr>
            <w:tcW w:type="dxa" w:w="1757"/>
          </w:tcPr>
          <w:p>
            <w:r>
              <w:rPr>
                <w:sz w:val="19"/>
              </w:rPr>
              <w:t>offen</w:t>
            </w:r>
          </w:p>
        </w:tc>
        <w:tc>
          <w:tcPr>
            <w:tcW w:type="dxa" w:w="1701"/>
          </w:tcPr>
          <w:p>
            <w:r>
              <w:rPr>
                <w:sz w:val="19"/>
              </w:rPr>
              <w:t>laufend</w:t>
            </w:r>
          </w:p>
        </w:tc>
      </w:tr>
      <w:tr>
        <w:tc>
          <w:tcPr>
            <w:tcW w:type="dxa" w:w="624"/>
          </w:tcPr>
          <w:p>
            <w:r>
              <w:rPr>
                <w:sz w:val="19"/>
              </w:rPr>
              <w:t>17</w:t>
            </w:r>
          </w:p>
        </w:tc>
        <w:tc>
          <w:tcPr>
            <w:tcW w:type="dxa" w:w="5329"/>
          </w:tcPr>
          <w:p>
            <w:r>
              <w:rPr>
                <w:sz w:val="19"/>
              </w:rPr>
              <w:t>Zentrale Projektdatenablage (z. B. OneDrive) einrichten, Ablage von E-Mail-Anhängen sicherstellen</w:t>
            </w:r>
          </w:p>
        </w:tc>
        <w:tc>
          <w:tcPr>
            <w:tcW w:type="dxa" w:w="1757"/>
          </w:tcPr>
          <w:p>
            <w:r>
              <w:rPr>
                <w:sz w:val="19"/>
              </w:rPr>
              <w:t>offen</w:t>
            </w:r>
          </w:p>
        </w:tc>
        <w:tc>
          <w:tcPr>
            <w:tcW w:type="dxa" w:w="1701"/>
          </w:tcPr>
          <w:p>
            <w:r>
              <w:rPr>
                <w:sz w:val="19"/>
              </w:rPr>
              <w:t>offen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