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Player Relations CRM</w:t>
      </w:r>
    </w:p>
    <w:p>
      <w:pPr>
        <w:pStyle w:val="Heading2"/>
      </w:pPr>
      <w:r>
        <w:t xml:space="preserve">Konzept, Datenschutz und IT-Anforderungen</w:t>
      </w:r>
    </w:p>
    <w:p>
      <w:pPr/>
      <w:r>
        <w:t xml:space="preserve">Stand: </w:t>
      </w:r>
      <w:r>
        <w:t xml:space="preserve">Oct 3, 2026</w:t>
      </w:r>
      <w:r>
        <w:t xml:space="preserve"> · Fachlicher Ansprechpartner: Jörg Wagner, Player Relations</w:t>
      </w:r>
    </w:p>
    <w:p>
      <w:pPr/>
      <w:r>
        <w:rPr>
          <w:i/>
        </w:rPr>
        <w:t xml:space="preserve">Vorlage für die Geschäftsführung und die externe IT-Betreuung</w:t>
      </w:r>
    </w:p>
    <w:p>
      <w:pPr>
        <w:pStyle w:val="Heading2"/>
      </w:pPr>
      <w:r>
        <w:t xml:space="preserve">Worum es geht</w:t>
      </w:r>
    </w:p>
    <w:p>
      <w:pPr/>
      <w:r>
        <w:t xml:space="preserve">Die Abteilung Player Relations betreut Spieler in allen Fragen außerhalb des Sportlichen – Ausweise, Versicherungen, Steuer, persönlicher Kontakt. Diese Informationen liegen heute verteilt in E-Mails, Ordnern und Notizen einzelner Mitarbeiter. Es gibt keine gemeinsame Übersicht, wer wann zuletzt Kontakt hatte, bei welchem Spieler eine Versicherung fehlt oder wessen Ausweis demnächst abläuft.</w:t>
      </w:r>
    </w:p>
    <w:p>
      <w:pPr/>
      <w:r>
        <w:t xml:space="preserve">Dafür wurde eine interne Anwendung entwickelt, die genau diese Punkte pro Spieler bündelt und auffallend markiert, was offen ist. Sie ist fertig und wird derzeit erprobt.</w:t>
      </w:r>
    </w:p>
    <w:p>
      <w:pPr/>
      <w:r>
        <w:rPr>
          <w:b/>
        </w:rPr>
        <w:t xml:space="preserve">Zu entscheiden ist nur eines:</w:t>
      </w:r>
      <w:r>
        <w:t xml:space="preserve"> wo die Anwendung künftig betrieben wird und wo die Daten liegen. Die Empfehlung lautet, sie in die bestehende Microsoft-365-Umgebung zu integrieren – Anmeldung über das vorhandene Firmenkonto, Dokumente in SharePoint. Damit gilt für die Anwendung dasselbe Sicherheitsniveau wie für die heutige Dateiablage, ohne dass ein neuer Dienstleister, ein neuer Vertrag oder eine neue Datenschutzprüfung nötig wäre.</w:t>
      </w:r>
    </w:p>
    <w:p>
      <w:pPr/>
      <w:r>
        <w:t xml:space="preserve">Der Aufwand liegt bei der IT-Betreuung im Bereich weniger Stunden Einrichtung. Die Entwicklungsarbeit für die Umstellung beträgt einige Tage.</w:t>
      </w:r>
    </w:p>
    <w:p>
      <w:pPr>
        <w:pStyle w:val="Heading2"/>
      </w:pPr>
      <w:r>
        <w:t xml:space="preserve">Was die Anwendung leistet</w:t>
      </w:r>
    </w:p>
    <w:p>
      <w:pPr/>
      <w:r>
        <w:t xml:space="preserve">Jeder Spieler hat eine Akte mit sieben Bereichen. Oben in der Akte steht pro Bereich eine Markierung in Grün oder Rot, die in Worten sagt, warum etwas offen ist – etwa „Steuer 2025 noch nicht erledigt“. Ein Klick darauf springt in den zugehörigen Abschnitt.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Bereich</w:t>
            </w:r>
          </w:p>
        </w:tc>
        <w:tc>
          <w:tcPr>
            <w:tcW w:w="3120" w:type="dxa"/>
            <w:shd w:val="clear" w:color="auto" w:fill="F2F2F2"/>
          </w:tcPr>
          <w:p>
            <w:pPr/>
            <w:r>
              <w:t xml:space="preserve">Inhalt</w:t>
            </w:r>
          </w:p>
        </w:tc>
        <w:tc>
          <w:tcPr>
            <w:tcW w:w="3120" w:type="dxa"/>
            <w:shd w:val="clear" w:color="auto" w:fill="F2F2F2"/>
          </w:tcPr>
          <w:p>
            <w:pPr/>
            <w:r>
              <w:t xml:space="preserve">Wann rot</w:t>
            </w:r>
          </w:p>
        </w:tc>
      </w:tr>
      <w:tr>
        <w:tc>
          <w:tcPr>
            <w:tcW w:w="3120" w:type="dxa"/>
          </w:tcPr>
          <w:p>
            <w:pPr/>
            <w:r>
              <w:t xml:space="preserve">Stammdaten</w:t>
            </w:r>
          </w:p>
        </w:tc>
        <w:tc>
          <w:tcPr>
            <w:tcW w:w="3120" w:type="dxa"/>
          </w:tcPr>
          <w:p>
            <w:pPr/>
            <w:r>
              <w:t xml:space="preserve">Adresse, Verein, Geburtsdatum und -land, Größe, Konfektionsgröße, Vertragsende, bisherige Verletzungen, Foto</w:t>
            </w:r>
          </w:p>
        </w:tc>
        <w:tc>
          <w:tcPr>
            <w:tcW w:w="3120" w:type="dxa"/>
          </w:tcPr>
          <w:p>
            <w:pPr/>
            <w:r>
              <w:t xml:space="preserve">–</w:t>
            </w:r>
          </w:p>
        </w:tc>
      </w:tr>
      <w:tr>
        <w:tc>
          <w:tcPr>
            <w:tcW w:w="3120" w:type="dxa"/>
          </w:tcPr>
          <w:p>
            <w:pPr/>
            <w:r>
              <w:t xml:space="preserve">Ausweis</w:t>
            </w:r>
          </w:p>
        </w:tc>
        <w:tc>
          <w:tcPr>
            <w:tcW w:w="3120" w:type="dxa"/>
          </w:tcPr>
          <w:p>
            <w:pPr/>
            <w:r>
              <w:t xml:space="preserve">Hochgeladenes Ausweisdokument mit Gültigkeitsdatum; das Ablaufdatum wird beim Hochladen automatisch ausgelesen</w:t>
            </w:r>
          </w:p>
        </w:tc>
        <w:tc>
          <w:tcPr>
            <w:tcW w:w="3120" w:type="dxa"/>
          </w:tcPr>
          <w:p>
            <w:pPr/>
            <w:r>
              <w:t xml:space="preserve">kein Ausweis hinterlegt oder abgelaufen</w:t>
            </w:r>
          </w:p>
        </w:tc>
      </w:tr>
      <w:tr>
        <w:tc>
          <w:tcPr>
            <w:tcW w:w="3120" w:type="dxa"/>
          </w:tcPr>
          <w:p>
            <w:pPr/>
            <w:r>
              <w:t xml:space="preserve">Versicherung</w:t>
            </w:r>
          </w:p>
        </w:tc>
        <w:tc>
          <w:tcPr>
            <w:tcW w:w="3120" w:type="dxa"/>
          </w:tcPr>
          <w:p>
            <w:pPr/>
            <w:r>
              <w:t xml:space="preserve">Private, Haftpflicht, Krankentagegeld, Invalidität je mit Deckungssumme; Makler und Kontakt; Unterlagen; jährliche Prüfung</w:t>
            </w:r>
          </w:p>
        </w:tc>
        <w:tc>
          <w:tcPr>
            <w:tcW w:w="3120" w:type="dxa"/>
          </w:tcPr>
          <w:p>
            <w:pPr/>
            <w:r>
              <w:t xml:space="preserve">keine Auswahl getroffen</w:t>
            </w:r>
          </w:p>
        </w:tc>
      </w:tr>
      <w:tr>
        <w:tc>
          <w:tcPr>
            <w:tcW w:w="3120" w:type="dxa"/>
          </w:tcPr>
          <w:p>
            <w:pPr/>
            <w:r>
              <w:t xml:space="preserve">Steuer</w:t>
            </w:r>
          </w:p>
        </w:tc>
        <w:tc>
          <w:tcPr>
            <w:tcW w:w="3120" w:type="dxa"/>
          </w:tcPr>
          <w:p>
            <w:pPr/>
            <w:r>
              <w:t xml:space="preserve">Läuft über uns / läuft nicht über uns / noch nicht benötigt; Steuerberater mit E-Mail; Unterlagen; Jahresverfolgung</w:t>
            </w:r>
          </w:p>
        </w:tc>
        <w:tc>
          <w:tcPr>
            <w:tcW w:w="3120" w:type="dxa"/>
          </w:tcPr>
          <w:p>
            <w:pPr/>
            <w:r>
              <w:t xml:space="preserve">jüngstes erfasstes Jahr nicht erledigt</w:t>
            </w:r>
          </w:p>
        </w:tc>
      </w:tr>
      <w:tr>
        <w:tc>
          <w:tcPr>
            <w:tcW w:w="3120" w:type="dxa"/>
          </w:tcPr>
          <w:p>
            <w:pPr/>
            <w:r>
              <w:t xml:space="preserve">Zufriedenheit</w:t>
            </w:r>
          </w:p>
        </w:tc>
        <w:tc>
          <w:tcPr>
            <w:tcW w:w="3120" w:type="dxa"/>
          </w:tcPr>
          <w:p>
            <w:pPr/>
            <w:r>
              <w:t xml:space="preserve">Monatliche Einschätzung von 1 bis 10 mit Verlaufsdiagramm; bei niedrigen Werten ein Begründungsfeld</w:t>
            </w:r>
          </w:p>
        </w:tc>
        <w:tc>
          <w:tcPr>
            <w:tcW w:w="3120" w:type="dxa"/>
          </w:tcPr>
          <w:p>
            <w:pPr/>
            <w:r>
              <w:t xml:space="preserve">Wert 5 oder darunter</w:t>
            </w:r>
          </w:p>
        </w:tc>
      </w:tr>
      <w:tr>
        <w:tc>
          <w:tcPr>
            <w:tcW w:w="3120" w:type="dxa"/>
          </w:tcPr>
          <w:p>
            <w:pPr/>
            <w:r>
              <w:t xml:space="preserve">Kontakt und Besuch</w:t>
            </w:r>
          </w:p>
        </w:tc>
        <w:tc>
          <w:tcPr>
            <w:tcW w:w="3120" w:type="dxa"/>
          </w:tcPr>
          <w:p>
            <w:pPr/>
            <w:r>
              <w:t xml:space="preserve">Letzter Kontakt und letzter persönlicher Besuch mit Verlauf und Restlaufzeit</w:t>
            </w:r>
          </w:p>
        </w:tc>
        <w:tc>
          <w:tcPr>
            <w:tcW w:w="3120" w:type="dxa"/>
          </w:tcPr>
          <w:p>
            <w:pPr/>
            <w:r>
              <w:t xml:space="preserve">Kontakt älter als 14 Tage, Besuch älter als 30 Tage</w:t>
            </w:r>
          </w:p>
        </w:tc>
      </w:tr>
      <w:tr>
        <w:tc>
          <w:tcPr>
            <w:tcW w:w="3120" w:type="dxa"/>
          </w:tcPr>
          <w:p>
            <w:pPr/>
            <w:r>
              <w:t xml:space="preserve">To-dos</w:t>
            </w:r>
          </w:p>
        </w:tc>
        <w:tc>
          <w:tcPr>
            <w:tcW w:w="3120" w:type="dxa"/>
          </w:tcPr>
          <w:p>
            <w:pPr/>
            <w:r>
              <w:t xml:space="preserve">Offene und erledigte Aufgaben mit Erinnerungs- und Fälligkeitsdatum, Kalenderexport</w:t>
            </w:r>
          </w:p>
        </w:tc>
        <w:tc>
          <w:tcPr>
            <w:tcW w:w="3120" w:type="dxa"/>
          </w:tcPr>
          <w:p>
            <w:pPr/>
            <w:r>
              <w:t xml:space="preserve">Erinnerung fällig</w:t>
            </w:r>
          </w:p>
        </w:tc>
      </w:tr>
    </w:tbl>
    <w:p>
      <w:pPr/>
      <w:r>
        <w:t xml:space="preserve">Dazu kommen Felder für Gesprächsnotizen und Familie, der Ausrüster mit automatisch angezeigtem Markenlogo sowie die Zuständigkeiten: Mitarbeiter Player Relations, Geschäftsführer oder Partner und Talentberater. Die Spielerliste lässt sich nach allen vier Merkmalen filtern.</w:t>
      </w:r>
    </w:p>
    <w:p>
      <w:pPr/>
      <w:r>
        <w:t xml:space="preserve">Die Anwendung läuft im Browser, als installierbare App auf dem Windows-Rechner und als App auf dem Mobiltelefon.</w:t>
      </w:r>
    </w:p>
    <w:p>
      <w:pPr>
        <w:pStyle w:val="Heading2"/>
      </w:pPr>
      <w:r>
        <w:t xml:space="preserve">Welche Daten verarbeitet werden</w:t>
      </w:r>
    </w:p>
    <w:p>
      <w:pPr/>
      <w:r>
        <w:t xml:space="preserve">Die Anwendung enthält durchweg personenbezogene Daten, teils in besonders geschützten Kategorien. Das ist der Grund, warum die Betriebsfrage überhaupt sorgfältig beantwortet werden muss.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Datenart</w:t>
            </w:r>
          </w:p>
        </w:tc>
        <w:tc>
          <w:tcPr>
            <w:tcW w:w="3120" w:type="dxa"/>
            <w:shd w:val="clear" w:color="auto" w:fill="F2F2F2"/>
          </w:tcPr>
          <w:p>
            <w:pPr/>
            <w:r>
              <w:t xml:space="preserve">Beispiele</w:t>
            </w:r>
          </w:p>
        </w:tc>
        <w:tc>
          <w:tcPr>
            <w:tcW w:w="3120" w:type="dxa"/>
            <w:shd w:val="clear" w:color="auto" w:fill="F2F2F2"/>
          </w:tcPr>
          <w:p>
            <w:pPr/>
            <w:r>
              <w:t xml:space="preserve">Einstufung</w:t>
            </w:r>
          </w:p>
        </w:tc>
      </w:tr>
      <w:tr>
        <w:tc>
          <w:tcPr>
            <w:tcW w:w="3120" w:type="dxa"/>
          </w:tcPr>
          <w:p>
            <w:pPr/>
            <w:r>
              <w:t xml:space="preserve">Stammdaten</w:t>
            </w:r>
          </w:p>
        </w:tc>
        <w:tc>
          <w:tcPr>
            <w:tcW w:w="3120" w:type="dxa"/>
          </w:tcPr>
          <w:p>
            <w:pPr/>
            <w:r>
              <w:t xml:space="preserve">Name, Anschrift, Geburtsdatum, Verein</w:t>
            </w:r>
          </w:p>
        </w:tc>
        <w:tc>
          <w:tcPr>
            <w:tcW w:w="3120" w:type="dxa"/>
          </w:tcPr>
          <w:p>
            <w:pPr/>
            <w:r>
              <w:t xml:space="preserve">personenbezogen, normales Schutzniveau</w:t>
            </w:r>
          </w:p>
        </w:tc>
      </w:tr>
      <w:tr>
        <w:tc>
          <w:tcPr>
            <w:tcW w:w="3120" w:type="dxa"/>
          </w:tcPr>
          <w:p>
            <w:pPr/>
            <w:r>
              <w:t xml:space="preserve">Ausweisdokumente</w:t>
            </w:r>
          </w:p>
        </w:tc>
        <w:tc>
          <w:tcPr>
            <w:tcW w:w="3120" w:type="dxa"/>
          </w:tcPr>
          <w:p>
            <w:pPr/>
            <w:r>
              <w:t xml:space="preserve">Scan von Personalausweis oder Reisepass</w:t>
            </w:r>
          </w:p>
        </w:tc>
        <w:tc>
          <w:tcPr>
            <w:tcW w:w="3120" w:type="dxa"/>
          </w:tcPr>
          <w:p>
            <w:pPr/>
            <w:r>
              <w:t xml:space="preserve">hoch – Missbrauchspotenzial bei Abfluss</w:t>
            </w:r>
          </w:p>
        </w:tc>
      </w:tr>
      <w:tr>
        <w:tc>
          <w:tcPr>
            <w:tcW w:w="3120" w:type="dxa"/>
          </w:tcPr>
          <w:p>
            <w:pPr/>
            <w:r>
              <w:t xml:space="preserve">Gesundheitsdaten</w:t>
            </w:r>
          </w:p>
        </w:tc>
        <w:tc>
          <w:tcPr>
            <w:tcW w:w="3120" w:type="dxa"/>
          </w:tcPr>
          <w:p>
            <w:pPr/>
            <w:r>
              <w:t xml:space="preserve">bisherige Verletzungen</w:t>
            </w:r>
          </w:p>
        </w:tc>
        <w:tc>
          <w:tcPr>
            <w:tcW w:w="3120" w:type="dxa"/>
          </w:tcPr>
          <w:p>
            <w:pPr/>
            <w:r>
              <w:rPr>
                <w:b/>
              </w:rPr>
              <w:t xml:space="preserve">besondere Kategorie nach Art. 9 DSGVO</w:t>
            </w:r>
          </w:p>
        </w:tc>
      </w:tr>
      <w:tr>
        <w:tc>
          <w:tcPr>
            <w:tcW w:w="3120" w:type="dxa"/>
          </w:tcPr>
          <w:p>
            <w:pPr/>
            <w:r>
              <w:t xml:space="preserve">Versicherungsunterlagen</w:t>
            </w:r>
          </w:p>
        </w:tc>
        <w:tc>
          <w:tcPr>
            <w:tcW w:w="3120" w:type="dxa"/>
          </w:tcPr>
          <w:p>
            <w:pPr/>
            <w:r>
              <w:t xml:space="preserve">Policen, Deckungssummen, Maklerkontakt</w:t>
            </w:r>
          </w:p>
        </w:tc>
        <w:tc>
          <w:tcPr>
            <w:tcW w:w="3120" w:type="dxa"/>
          </w:tcPr>
          <w:p>
            <w:pPr/>
            <w:r>
              <w:t xml:space="preserve">hoch, teils mit Gesundheitsbezug</w:t>
            </w:r>
          </w:p>
        </w:tc>
      </w:tr>
      <w:tr>
        <w:tc>
          <w:tcPr>
            <w:tcW w:w="3120" w:type="dxa"/>
          </w:tcPr>
          <w:p>
            <w:pPr/>
            <w:r>
              <w:t xml:space="preserve">Steuerunterlagen</w:t>
            </w:r>
          </w:p>
        </w:tc>
        <w:tc>
          <w:tcPr>
            <w:tcW w:w="3120" w:type="dxa"/>
          </w:tcPr>
          <w:p>
            <w:pPr/>
            <w:r>
              <w:t xml:space="preserve">Bescheide, Steuerberaterkontakt</w:t>
            </w:r>
          </w:p>
        </w:tc>
        <w:tc>
          <w:tcPr>
            <w:tcW w:w="3120" w:type="dxa"/>
          </w:tcPr>
          <w:p>
            <w:pPr/>
            <w:r>
              <w:t xml:space="preserve">hoch, wirtschaftlich sensibel</w:t>
            </w:r>
          </w:p>
        </w:tc>
      </w:tr>
      <w:tr>
        <w:tc>
          <w:tcPr>
            <w:tcW w:w="3120" w:type="dxa"/>
          </w:tcPr>
          <w:p>
            <w:pPr/>
            <w:r>
              <w:t xml:space="preserve">Einschätzungen</w:t>
            </w:r>
          </w:p>
        </w:tc>
        <w:tc>
          <w:tcPr>
            <w:tcW w:w="3120" w:type="dxa"/>
          </w:tcPr>
          <w:p>
            <w:pPr/>
            <w:r>
              <w:t xml:space="preserve">Zufriedenheitswerte und deren Begründung, Gesprächsnotizen</w:t>
            </w:r>
          </w:p>
        </w:tc>
        <w:tc>
          <w:tcPr>
            <w:tcW w:w="3120" w:type="dxa"/>
          </w:tcPr>
          <w:p>
            <w:pPr/>
            <w:r>
              <w:t xml:space="preserve">intern, reputationsrelevant bei Bekanntwerden</w:t>
            </w:r>
          </w:p>
        </w:tc>
      </w:tr>
    </w:tbl>
    <w:p>
      <w:pPr/>
      <w:r>
        <w:t xml:space="preserve">Zwei Punkte verdienen besondere Beachtung. Erstens: Angaben zu Verletzungen sind Gesundheitsdaten und damit eine besondere Kategorie personenbezogener Daten, für die die DSGVO erhöhte Anforderungen stellt. Zweitens: die Zufriedenheitseinschätzungen und Gesprächsnotizen sind interne Bewertungen. Würden sie einem Spieler oder einem Wettbewerber bekannt, wäre das geschäftlich und für das Vertrauensverhältnis schwerwiegend – unabhängig von jeder rechtlichen Frage.</w:t>
      </w:r>
    </w:p>
    <w:p>
      <w:pPr/>
      <w:r>
        <w:t xml:space="preserve">Der Zugriff ist deshalb auf die Abteilung Player Relations und die jeweils zuständigen Partner zu beschränken, nicht auf das gesamte Unternehmen.</w:t>
      </w:r>
    </w:p>
    <w:p>
      <w:pPr>
        <w:pStyle w:val="Heading2"/>
      </w:pPr>
      <w:r>
        <w:t xml:space="preserve">Aktueller Stand: Erprobung</w:t>
      </w:r>
    </w:p>
    <w:p>
      <w:pPr/>
      <w:r>
        <w:t xml:space="preserve">Die Anwendung ist fachlich fertig, speichert aber noch alle Daten ausschließlich lokal im Browser des jeweiligen Rechners. Das war für die Entwicklung die richtige Wahl – es wurden keine Daten an Dritte übertragen und nichts musste vorab freigegeben werden.</w:t>
      </w:r>
    </w:p>
    <w:p>
      <w:pPr/>
      <w:r>
        <w:t xml:space="preserve">Als Dauerlösung trägt dieser Zustand nicht:</w:t>
      </w:r>
    </w:p>
    <w:p>
      <w:pPr>
        <w:pStyle w:val="ListParagraph"/>
        <w:numPr>
          <w:ilvl w:val="0"/>
          <w:numId w:val="2"/>
        </w:numPr>
      </w:pPr>
      <w:r>
        <w:rPr>
          <w:b/>
        </w:rPr>
        <w:t xml:space="preserve">Kein Backup.</w:t>
      </w:r>
      <w:r>
        <w:t xml:space="preserve"> Geht der Rechner verloren oder wird der Browserspeicher gelöscht, sind die Daten weg.</w:t>
      </w:r>
    </w:p>
    <w:p>
      <w:pPr>
        <w:pStyle w:val="ListParagraph"/>
        <w:numPr>
          <w:ilvl w:val="0"/>
          <w:numId w:val="2"/>
        </w:numPr>
      </w:pPr>
      <w:r>
        <w:rPr>
          <w:b/>
        </w:rPr>
        <w:t xml:space="preserve">Keine gemeinsame Nutzung.</w:t>
      </w:r>
      <w:r>
        <w:t xml:space="preserve"> Jeder Mitarbeiter hätte seinen eigenen, abweichenden Datenbestand.</w:t>
      </w:r>
    </w:p>
    <w:p>
      <w:pPr>
        <w:pStyle w:val="ListParagraph"/>
        <w:numPr>
          <w:ilvl w:val="0"/>
          <w:numId w:val="2"/>
        </w:numPr>
      </w:pPr>
      <w:r>
        <w:rPr>
          <w:b/>
        </w:rPr>
        <w:t xml:space="preserve">Keine zentrale Zugriffskontrolle.</w:t>
      </w:r>
      <w:r>
        <w:t xml:space="preserve"> Wer den Rechner entsperrt, sieht alles; ein Entzug beim Ausscheiden ist nicht möglich.</w:t>
      </w:r>
    </w:p>
    <w:p>
      <w:pPr>
        <w:pStyle w:val="ListParagraph"/>
        <w:numPr>
          <w:ilvl w:val="0"/>
          <w:numId w:val="2"/>
        </w:numPr>
      </w:pPr>
      <w:r>
        <w:rPr>
          <w:b/>
        </w:rPr>
        <w:t xml:space="preserve">Keine Protokollierung.</w:t>
      </w:r>
      <w:r>
        <w:t xml:space="preserve"> Es ist nicht nachvollziehbar, wer wann welches Dokument geöffnet hat.</w:t>
      </w:r>
    </w:p>
    <w:p>
      <w:pPr/>
      <w:r>
        <w:t xml:space="preserve">Solange die Erprobung mit Beispieldaten läuft, ist das unkritisch. </w:t>
      </w:r>
      <w:r>
        <w:rPr>
          <w:b/>
        </w:rPr>
        <w:t xml:space="preserve">Vor der Erfassung echter Spielerdaten sollte die Umstellung erfolgen</w:t>
      </w:r>
      <w:r>
        <w:t xml:space="preserve">, die der nächste Abschnitt beschreibt.</w:t>
      </w:r>
    </w:p>
    <w:p>
      <w:pPr>
        <w:pStyle w:val="Heading2"/>
      </w:pPr>
      <w:r>
        <w:t xml:space="preserve">Empfohlene Zielarchitektur</w:t>
      </w:r>
    </w:p>
    <w:p>
      <w:pPr/>
      <w:r>
        <w:t xml:space="preserve">Die Anwendung wird in die bereits vorhandene Microsoft-365-Umgebung eingebettet, statt eine eigene Infrastruktur daneben zu stellen. Die Anmeldung erfolgt über das Firmenkonto, die Dokumente liegen in einer SharePoint-Bibliothek – also dort, wo die Unterlagen des Unternehmens schon heute liegen.</w:t>
      </w:r>
    </w:p>
    <w:p>
      <w:pPr/>
      <w:r>
        <w:drawing>
          <wp:inline distT="0" distB="0" distL="0" distR="0">
            <wp:extent cx="5486400" cy="2784021"/>
            <wp:docPr id="1" name="image1" descr="Zielarchitektur · Anmeldung und Ablage bleiben bei Microsoft"/>
            <a:graphic xmlns:a="http://schemas.openxmlformats.org/drawingml/2006/main">
              <a:graphicData uri="http://schemas.openxmlformats.org/drawingml/2006/picture">
                <pic:pic xmlns:pic="http://schemas.openxmlformats.org/drawingml/2006/picture">
                  <pic:nvPicPr>
                    <pic:cNvPr id="1" name="image1" descr="Zielarchitektur · Anmeldung und Ablage bleiben bei Microsoft"/>
                    <pic:cNvPicPr/>
                  </pic:nvPicPr>
                  <pic:blipFill>
                    <a:blip r:embed="rId3"/>
                    <a:stretch>
                      <a:fillRect/>
                    </a:stretch>
                  </pic:blipFill>
                  <pic:spPr>
                    <a:xfrm>
                      <a:off x="0" y="0"/>
                      <a:ext cx="5486400" cy="2784021"/>
                    </a:xfrm>
                    <a:prstGeom prst="rect">
                      <a:avLst/>
                    </a:prstGeom>
                  </pic:spPr>
                </pic:pic>
              </a:graphicData>
            </a:graphic>
          </wp:inline>
        </w:drawing>
      </w:r>
    </w:p>
    <w:p>
      <w:pPr/>
      <w:r>
        <w:t xml:space="preserve">Zielarchitektur · Anmeldung und Ablage bleiben bei Microsoft</w:t>
      </w:r>
    </w:p>
    <w:p>
      <w:pPr/>
      <w:r>
        <w:t xml:space="preserve">Die Mitarbeiter melden sich mit ihrem gewohnten Firmenkonto an; die Anwendung fragt bei Entra ID nach, wer eintreten darf, und legt alle Dokumente in SharePoint ab.</w:t>
      </w:r>
    </w:p>
    <w:p>
      <w:pPr/>
      <w:r>
        <w:rPr>
          <w:b/>
        </w:rPr>
        <w:t xml:space="preserve">Damit beantwortet sich eine Reihe von Fragen ohne weiteres Zutun: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Frage</w:t>
            </w:r>
          </w:p>
        </w:tc>
        <w:tc>
          <w:tcPr>
            <w:tcW w:w="4680" w:type="dxa"/>
            <w:shd w:val="clear" w:color="auto" w:fill="F2F2F2"/>
          </w:tcPr>
          <w:p>
            <w:pPr/>
            <w:r>
              <w:t xml:space="preserve">Antwort</w:t>
            </w:r>
          </w:p>
        </w:tc>
      </w:tr>
      <w:tr>
        <w:tc>
          <w:tcPr>
            <w:tcW w:w="4680" w:type="dxa"/>
          </w:tcPr>
          <w:p>
            <w:pPr/>
            <w:r>
              <w:t xml:space="preserve">Wer hat Zugriff?</w:t>
            </w:r>
          </w:p>
        </w:tc>
        <w:tc>
          <w:tcPr>
            <w:tcW w:w="4680" w:type="dxa"/>
          </w:tcPr>
          <w:p>
            <w:pPr/>
            <w:r>
              <w:t xml:space="preserve">Nur Mitglieder der Entra-Gruppe „Player Relations“</w:t>
            </w:r>
          </w:p>
        </w:tc>
      </w:tr>
      <w:tr>
        <w:tc>
          <w:tcPr>
            <w:tcW w:w="4680" w:type="dxa"/>
          </w:tcPr>
          <w:p>
            <w:pPr/>
            <w:r>
              <w:t xml:space="preserve">Wie melden sich die Mitarbeiter an?</w:t>
            </w:r>
          </w:p>
        </w:tc>
        <w:tc>
          <w:tcPr>
            <w:tcW w:w="4680" w:type="dxa"/>
          </w:tcPr>
          <w:p>
            <w:pPr/>
            <w:r>
              <w:t xml:space="preserve">Mit dem bestehenden Firmenkonto samt Zwei-Faktor-Anmeldung</w:t>
            </w:r>
          </w:p>
        </w:tc>
      </w:tr>
      <w:tr>
        <w:tc>
          <w:tcPr>
            <w:tcW w:w="4680" w:type="dxa"/>
          </w:tcPr>
          <w:p>
            <w:pPr/>
            <w:r>
              <w:t xml:space="preserve">Was passiert beim Ausscheiden?</w:t>
            </w:r>
          </w:p>
        </w:tc>
        <w:tc>
          <w:tcPr>
            <w:tcW w:w="4680" w:type="dxa"/>
          </w:tcPr>
          <w:p>
            <w:pPr/>
            <w:r>
              <w:t xml:space="preserve">Konto deaktivieren genügt, der Zugang entfällt sofort</w:t>
            </w:r>
          </w:p>
        </w:tc>
      </w:tr>
      <w:tr>
        <w:tc>
          <w:tcPr>
            <w:tcW w:w="4680" w:type="dxa"/>
          </w:tcPr>
          <w:p>
            <w:pPr/>
            <w:r>
              <w:t xml:space="preserve">Wo liegen die Dokumente?</w:t>
            </w:r>
          </w:p>
        </w:tc>
        <w:tc>
          <w:tcPr>
            <w:tcW w:w="4680" w:type="dxa"/>
          </w:tcPr>
          <w:p>
            <w:pPr/>
            <w:r>
              <w:t xml:space="preserve">In SharePoint, wie die übrigen Unternehmensunterlagen</w:t>
            </w:r>
          </w:p>
        </w:tc>
      </w:tr>
      <w:tr>
        <w:tc>
          <w:tcPr>
            <w:tcW w:w="4680" w:type="dxa"/>
          </w:tcPr>
          <w:p>
            <w:pPr/>
            <w:r>
              <w:t xml:space="preserve">Gibt es ein Backup?</w:t>
            </w:r>
          </w:p>
        </w:tc>
        <w:tc>
          <w:tcPr>
            <w:tcW w:w="4680" w:type="dxa"/>
          </w:tcPr>
          <w:p>
            <w:pPr/>
            <w:r>
              <w:t xml:space="preserve">Ja, über SharePoint, einschließlich Versionen und Papierkorb</w:t>
            </w:r>
          </w:p>
        </w:tc>
      </w:tr>
      <w:tr>
        <w:tc>
          <w:tcPr>
            <w:tcW w:w="4680" w:type="dxa"/>
          </w:tcPr>
          <w:p>
            <w:pPr/>
            <w:r>
              <w:t xml:space="preserve">Ist nachvollziehbar, wer was geöffnet hat?</w:t>
            </w:r>
          </w:p>
        </w:tc>
        <w:tc>
          <w:tcPr>
            <w:tcW w:w="4680" w:type="dxa"/>
          </w:tcPr>
          <w:p>
            <w:pPr/>
            <w:r>
              <w:t xml:space="preserve">Ja, über das Microsoft-365-Audit-Log</w:t>
            </w:r>
          </w:p>
        </w:tc>
      </w:tr>
      <w:tr>
        <w:tc>
          <w:tcPr>
            <w:tcW w:w="4680" w:type="dxa"/>
          </w:tcPr>
          <w:p>
            <w:pPr/>
            <w:r>
              <w:t xml:space="preserve">Verlassen Daten die gewohnte Umgebung?</w:t>
            </w:r>
          </w:p>
        </w:tc>
        <w:tc>
          <w:tcPr>
            <w:tcW w:w="4680" w:type="dxa"/>
          </w:tcPr>
          <w:p>
            <w:pPr/>
            <w:r>
              <w:t xml:space="preserve">Nein</w:t>
            </w:r>
          </w:p>
        </w:tc>
      </w:tr>
    </w:tbl>
    <w:p>
      <w:pPr/>
      <w:r>
        <w:t xml:space="preserve">Entscheidend ist der letzte Punkt. Jede Lösung außerhalb dieser Umgebung erfordert einen neuen Vertrag, eine neue Datenschutzprüfung und eine neue Vertrauensentscheidung. Innerhalb des Tenants gelten die Regelungen, die bereits geprüft und freigegeben sind.</w:t>
      </w:r>
    </w:p>
    <w:p>
      <w:pPr>
        <w:pStyle w:val="Heading2"/>
      </w:pPr>
      <w:r>
        <w:t xml:space="preserve">Datenschutz</w:t>
      </w:r>
    </w:p>
    <w:p>
      <w:pPr/>
      <w:r>
        <w:t xml:space="preserve">Die Microsoft-Variante beantwortet die wesentlichen DSGVO-Fragen über die bereits bestehenden Regelungen mit. Offen bleiben nur Punkte, die ohnehin fachlich zu klären sind.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Anforderung</w:t>
            </w:r>
          </w:p>
        </w:tc>
        <w:tc>
          <w:tcPr>
            <w:tcW w:w="4680" w:type="dxa"/>
            <w:shd w:val="clear" w:color="auto" w:fill="F2F2F2"/>
          </w:tcPr>
          <w:p>
            <w:pPr/>
            <w:r>
              <w:t xml:space="preserve">Umsetzung</w:t>
            </w:r>
          </w:p>
        </w:tc>
      </w:tr>
      <w:tr>
        <w:tc>
          <w:tcPr>
            <w:tcW w:w="4680" w:type="dxa"/>
          </w:tcPr>
          <w:p>
            <w:pPr/>
            <w:r>
              <w:t xml:space="preserve">Rechtsgrundlage</w:t>
            </w:r>
          </w:p>
        </w:tc>
        <w:tc>
          <w:tcPr>
            <w:tcW w:w="4680" w:type="dxa"/>
          </w:tcPr>
          <w:p>
            <w:pPr/>
            <w:r>
              <w:t xml:space="preserve">Vertragserfüllung gegenüber dem Spieler (Art. 6 Abs. 1 lit. b); für Gesundheitsdaten ist eine ausdrückliche Einwilligung nach Art. 9 Abs. 2 lit. a einzuholen</w:t>
            </w:r>
          </w:p>
        </w:tc>
      </w:tr>
      <w:tr>
        <w:tc>
          <w:tcPr>
            <w:tcW w:w="4680" w:type="dxa"/>
          </w:tcPr>
          <w:p>
            <w:pPr/>
            <w:r>
              <w:t xml:space="preserve">Auftragsverarbeitung</w:t>
            </w:r>
          </w:p>
        </w:tc>
        <w:tc>
          <w:tcPr>
            <w:tcW w:w="4680" w:type="dxa"/>
          </w:tcPr>
          <w:p>
            <w:pPr/>
            <w:r>
              <w:t xml:space="preserve">Der bestehende Vertrag mit Microsoft deckt die Verarbeitung ab; kein zusätzlicher Dienstleister</w:t>
            </w:r>
          </w:p>
        </w:tc>
      </w:tr>
      <w:tr>
        <w:tc>
          <w:tcPr>
            <w:tcW w:w="4680" w:type="dxa"/>
          </w:tcPr>
          <w:p>
            <w:pPr/>
            <w:r>
              <w:t xml:space="preserve">Speicherort</w:t>
            </w:r>
          </w:p>
        </w:tc>
        <w:tc>
          <w:tcPr>
            <w:tcW w:w="4680" w:type="dxa"/>
          </w:tcPr>
          <w:p>
            <w:pPr/>
            <w:r>
              <w:t xml:space="preserve">EU-Rechenzentrum, entsprechend der heutigen SharePoint-Konfiguration</w:t>
            </w:r>
          </w:p>
        </w:tc>
      </w:tr>
      <w:tr>
        <w:tc>
          <w:tcPr>
            <w:tcW w:w="4680" w:type="dxa"/>
          </w:tcPr>
          <w:p>
            <w:pPr/>
            <w:r>
              <w:t xml:space="preserve">Zugriffsbeschränkung</w:t>
            </w:r>
          </w:p>
        </w:tc>
        <w:tc>
          <w:tcPr>
            <w:tcW w:w="4680" w:type="dxa"/>
          </w:tcPr>
          <w:p>
            <w:pPr/>
            <w:r>
              <w:t xml:space="preserve">über eine Entra-Gruppe; Erteilung und Entzug durch die IT-Betreuung</w:t>
            </w:r>
          </w:p>
        </w:tc>
      </w:tr>
      <w:tr>
        <w:tc>
          <w:tcPr>
            <w:tcW w:w="4680" w:type="dxa"/>
          </w:tcPr>
          <w:p>
            <w:pPr/>
            <w:r>
              <w:t xml:space="preserve">Protokollierung</w:t>
            </w:r>
          </w:p>
        </w:tc>
        <w:tc>
          <w:tcPr>
            <w:tcW w:w="4680" w:type="dxa"/>
          </w:tcPr>
          <w:p>
            <w:pPr/>
            <w:r>
              <w:t xml:space="preserve">Jeder Zugriff auf ein Dokument wird im Microsoft-365-Audit-Log erfasst</w:t>
            </w:r>
          </w:p>
        </w:tc>
      </w:tr>
      <w:tr>
        <w:tc>
          <w:tcPr>
            <w:tcW w:w="4680" w:type="dxa"/>
          </w:tcPr>
          <w:p>
            <w:pPr/>
            <w:r>
              <w:t xml:space="preserve">Betroffenenrechte</w:t>
            </w:r>
          </w:p>
        </w:tc>
        <w:tc>
          <w:tcPr>
            <w:tcW w:w="4680" w:type="dxa"/>
          </w:tcPr>
          <w:p>
            <w:pPr/>
            <w:r>
              <w:t xml:space="preserve">Auskunft und Herausgabe durch Export der jeweiligen Spielerakte; Löschung durch Entfernen der Akte samt Dokumenten</w:t>
            </w:r>
          </w:p>
        </w:tc>
      </w:tr>
      <w:tr>
        <w:tc>
          <w:tcPr>
            <w:tcW w:w="4680" w:type="dxa"/>
          </w:tcPr>
          <w:p>
            <w:pPr/>
            <w:r>
              <w:t xml:space="preserve">Aufbewahrung</w:t>
            </w:r>
          </w:p>
        </w:tc>
        <w:tc>
          <w:tcPr>
            <w:tcW w:w="4680" w:type="dxa"/>
          </w:tcPr>
          <w:p>
            <w:pPr/>
            <w:r>
              <w:t xml:space="preserve">über SharePoint-Aufbewahrungsrichtlinien steuerbar</w:t>
            </w:r>
          </w:p>
        </w:tc>
      </w:tr>
    </w:tbl>
    <w:p>
      <w:pPr/>
      <w:r>
        <w:rPr>
          <w:b/>
        </w:rPr>
        <w:t xml:space="preserve">Zwei Punkte sind fachlich zu entscheiden, nicht technisch:</w:t>
      </w:r>
    </w:p>
    <w:p>
      <w:pPr>
        <w:pStyle w:val="ListParagraph"/>
        <w:numPr>
          <w:ilvl w:val="0"/>
          <w:numId w:val="3"/>
        </w:numPr>
      </w:pPr>
      <w:r>
        <w:rPr>
          <w:b/>
        </w:rPr>
        <w:t xml:space="preserve">Einwilligung für Gesundheitsdaten.</w:t>
      </w:r>
      <w:r>
        <w:t xml:space="preserve"> Für die Erfassung bisheriger Verletzungen sollte eine schriftliche Einwilligung des Spielers vorliegen. Ob die bestehenden Beraterverträge das bereits abdecken, sollte geprüft werden – gegebenenfalls genügt eine kurze Ergänzung.</w:t>
      </w:r>
    </w:p>
    <w:p>
      <w:pPr>
        <w:pStyle w:val="ListParagraph"/>
        <w:numPr>
          <w:ilvl w:val="0"/>
          <w:numId w:val="3"/>
        </w:numPr>
      </w:pPr>
      <w:r>
        <w:rPr>
          <w:b/>
        </w:rPr>
        <w:t xml:space="preserve">Löschfristen.</w:t>
      </w:r>
      <w:r>
        <w:t xml:space="preserve"> Wie lange bleibt die Akte eines Spielers nach Vertragsende bestehen? Eine Festlegung ist nötig; sie lässt sich anschliessend technisch durchsetzen.</w:t>
      </w:r>
    </w:p>
    <w:p>
      <w:pPr/>
      <w:r>
        <w:t xml:space="preserve">Da es um Gesundheitsdaten und Ausweisdokumente geht, empfiehlt sich zudem die Aufnahme der Anwendung in das Verzeichnis von Verarbeitungstätigkeiten.</w:t>
      </w:r>
    </w:p>
    <w:p>
      <w:pPr>
        <w:pStyle w:val="Heading2"/>
      </w:pPr>
      <w:r>
        <w:t xml:space="preserve">Anforderungen an die IT-Betreuung</w:t>
      </w:r>
    </w:p>
    <w:p>
      <w:pPr/>
      <w:r>
        <w:t xml:space="preserve">Dieser Abschnitt richtet sich an Spruck und ist als Arbeitsgrundlage gedacht. Es geht ausschließlich um Einrichtung in der bestehenden Microsoft-365-Umgebung; ein eigener Server wird nicht benötigt.</w:t>
      </w:r>
    </w:p>
    <w:p>
      <w:pPr>
        <w:pStyle w:val="ListParagraph"/>
        <w:numPr>
          <w:ilvl w:val="0"/>
          <w:numId w:val="4"/>
        </w:numPr>
      </w:pPr>
      <w:r>
        <w:t xml:space="preserve">☐ </w:t>
      </w:r>
      <w:r>
        <w:rPr>
          <w:b/>
        </w:rPr>
        <w:t xml:space="preserve">App-Registrierung in Entra ID</w:t>
      </w:r>
      <w:r>
        <w:t xml:space="preserve"> anlegen. Benötigte delegierte Berechtigungen: </w:t>
      </w:r>
      <w:r>
        <w:rPr>
          <w:rStyle w:val="CodeChar"/>
        </w:rPr>
        <w:t xml:space="preserve">User.Read</w:t>
      </w:r>
      <w:r>
        <w:t xml:space="preserve"> für die Anmeldung und </w:t>
      </w:r>
      <w:r>
        <w:rPr>
          <w:rStyle w:val="CodeChar"/>
        </w:rPr>
        <w:t xml:space="preserve">Sites.Selected</w:t>
      </w:r>
      <w:r>
        <w:t xml:space="preserve"> für den Dokumentzugriff. </w:t>
      </w:r>
      <w:r>
        <w:rPr>
          <w:rStyle w:val="CodeChar"/>
        </w:rPr>
        <w:t xml:space="preserve">Sites.Selected</w:t>
      </w:r>
      <w:r>
        <w:t xml:space="preserve"> ist bewusst gewählt: die Anwendung erhält damit Zugriff ausschliesslich auf die eine freigegebene Bibliothek, nicht auf SharePoint insgesamt.</w:t>
      </w:r>
    </w:p>
    <w:p>
      <w:pPr>
        <w:pStyle w:val="ListParagraph"/>
        <w:numPr>
          <w:ilvl w:val="0"/>
          <w:numId w:val="4"/>
        </w:numPr>
      </w:pPr>
      <w:r>
        <w:t xml:space="preserve">☐ </w:t>
      </w:r>
      <w:r>
        <w:rPr>
          <w:b/>
        </w:rPr>
        <w:t xml:space="preserve">SharePoint-Dokumentbibliothek</w:t>
      </w:r>
      <w:r>
        <w:t xml:space="preserve"> anlegen, zum Beispiel „Player Relations CRM“, und der App-Registrierung per </w:t>
      </w:r>
      <w:r>
        <w:rPr>
          <w:rStyle w:val="CodeChar"/>
        </w:rPr>
        <w:t xml:space="preserve">Sites.Selected</w:t>
      </w:r>
      <w:r>
        <w:t xml:space="preserve"> Schreibrecht genau darauf erteilen.</w:t>
      </w:r>
    </w:p>
    <w:p>
      <w:pPr>
        <w:pStyle w:val="ListParagraph"/>
        <w:numPr>
          <w:ilvl w:val="0"/>
          <w:numId w:val="4"/>
        </w:numPr>
      </w:pPr>
      <w:r>
        <w:t xml:space="preserve">☐ </w:t>
      </w:r>
      <w:r>
        <w:rPr>
          <w:b/>
        </w:rPr>
        <w:t xml:space="preserve">Entra-Sicherheitsgruppe</w:t>
      </w:r>
      <w:r>
        <w:t xml:space="preserve"> „Player Relations“ anlegen und der Anwendung sowie der Bibliothek zuweisen. Die Mitgliederpflege verbleibt bei der IT-Betreuung.</w:t>
      </w:r>
    </w:p>
    <w:p>
      <w:pPr>
        <w:pStyle w:val="ListParagraph"/>
        <w:numPr>
          <w:ilvl w:val="0"/>
          <w:numId w:val="4"/>
        </w:numPr>
      </w:pPr>
      <w:r>
        <w:t xml:space="preserve">☐ </w:t>
      </w:r>
      <w:r>
        <w:rPr>
          <w:b/>
        </w:rPr>
        <w:t xml:space="preserve">Betriebsumgebung</w:t>
      </w:r>
      <w:r>
        <w:t xml:space="preserve"> bereitstellen. Empfehlung: Azure App Service im eigenen Tenant, kleinste Leistungsstufe genügt. Alternativ eine vorhandene Windows-VM mit Node.js.</w:t>
      </w:r>
    </w:p>
    <w:p>
      <w:pPr>
        <w:pStyle w:val="ListParagraph"/>
        <w:numPr>
          <w:ilvl w:val="0"/>
          <w:numId w:val="4"/>
        </w:numPr>
      </w:pPr>
      <w:r>
        <w:t xml:space="preserve">☐ </w:t>
      </w:r>
      <w:r>
        <w:rPr>
          <w:b/>
        </w:rPr>
        <w:t xml:space="preserve">Interner Name und Zertifikat</w:t>
      </w:r>
      <w:r>
        <w:t xml:space="preserve">, zum Beispiel </w:t>
      </w:r>
      <w:r>
        <w:rPr>
          <w:rStyle w:val="CodeChar"/>
        </w:rPr>
        <w:t xml:space="preserve">spielerverwaltung.rogon.de</w:t>
      </w:r>
      <w:r>
        <w:t xml:space="preserve">, ausschließlich über HTTPS erreichbar.</w:t>
      </w:r>
    </w:p>
    <w:p>
      <w:pPr>
        <w:pStyle w:val="ListParagraph"/>
        <w:numPr>
          <w:ilvl w:val="0"/>
          <w:numId w:val="4"/>
        </w:numPr>
      </w:pPr>
      <w:r>
        <w:t xml:space="preserve">☐ </w:t>
      </w:r>
      <w:r>
        <w:rPr>
          <w:b/>
        </w:rPr>
        <w:t xml:space="preserve">Conditional-Access-Richtlinien</w:t>
      </w:r>
      <w:r>
        <w:t xml:space="preserve"> auf die Anwendung anwenden, mindestens Zwei-Faktor-Anmeldung entsprechend der bestehenden Konfiguration.</w:t>
      </w:r>
    </w:p>
    <w:p>
      <w:pPr>
        <w:pStyle w:val="ListParagraph"/>
        <w:numPr>
          <w:ilvl w:val="0"/>
          <w:numId w:val="4"/>
        </w:numPr>
      </w:pPr>
      <w:r>
        <w:t xml:space="preserve">☐ </w:t>
      </w:r>
      <w:r>
        <w:rPr>
          <w:b/>
        </w:rPr>
        <w:t xml:space="preserve">Aufbewahrungsrichtlinie</w:t>
      </w:r>
      <w:r>
        <w:t xml:space="preserve"> auf der Bibliothek setzen, sobald die Löschfrist festgelegt ist.</w:t>
      </w:r>
    </w:p>
    <w:p>
      <w:pPr/>
      <w:r>
        <w:t xml:space="preserve">Backup, Versionierung und Protokollierung ergeben sich automatisch aus SharePoint und müssen nicht gesondert eingerichtet werden – ein wesentlicher Vorteil dieser Variante.</w:t>
      </w:r>
    </w:p>
    <w:p>
      <w:pPr/>
      <w:r>
        <w:rPr>
          <w:b/>
        </w:rPr>
        <w:t xml:space="preserve">Was die Anwendungsseite beiträgt:</w:t>
      </w:r>
      <w:r>
        <w:t xml:space="preserve"> die fertige Anwendung als Bereitstellungspaket, die Anbindung an Entra ID und Microsoft Graph sowie eine Installations- und Betriebsanleitung. Benötigt werden dazu lediglich die Tenant-ID, die Client-ID der App-Registrierung und die URL der Bibliothek.</w:t>
      </w:r>
    </w:p>
    <w:p>
      <w:pPr>
        <w:pStyle w:val="Heading2"/>
      </w:pPr>
      <w:r>
        <w:t xml:space="preserve">Geprüfte Alternativen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Variante</w:t>
            </w:r>
          </w:p>
        </w:tc>
        <w:tc>
          <w:tcPr>
            <w:tcW w:w="4680" w:type="dxa"/>
            <w:shd w:val="clear" w:color="auto" w:fill="F2F2F2"/>
          </w:tcPr>
          <w:p>
            <w:pPr/>
            <w:r>
              <w:t xml:space="preserve">Bewertung</w:t>
            </w:r>
          </w:p>
        </w:tc>
      </w:tr>
      <w:tr>
        <w:tc>
          <w:tcPr>
            <w:tcW w:w="4680" w:type="dxa"/>
          </w:tcPr>
          <w:p>
            <w:pPr/>
            <w:r>
              <w:rPr>
                <w:b/>
              </w:rPr>
              <w:t xml:space="preserve">Microsoft 365 / SharePoint</w:t>
            </w:r>
            <w:r>
              <w:t xml:space="preserve"> </w:t>
            </w:r>
            <w:r>
              <w:rPr>
                <w:i/>
              </w:rPr>
              <w:t xml:space="preserve">(empfohlen)</w:t>
            </w:r>
          </w:p>
        </w:tc>
        <w:tc>
          <w:tcPr>
            <w:tcW w:w="4680" w:type="dxa"/>
          </w:tcPr>
          <w:p>
            <w:pPr/>
            <w:r>
              <w:t xml:space="preserve">Kein neuer Dienstleister, keine neue Prüfung. Sicherheitsniveau und Datenschutzregelungen der heutigen Ablage gelten unverändert weiter. Geringster Einrichtungsaufwand.</w:t>
            </w:r>
          </w:p>
        </w:tc>
      </w:tr>
      <w:tr>
        <w:tc>
          <w:tcPr>
            <w:tcW w:w="4680" w:type="dxa"/>
          </w:tcPr>
          <w:p>
            <w:pPr/>
            <w:r>
              <w:t xml:space="preserve">Eigener Server im Rogon-Netz</w:t>
            </w:r>
          </w:p>
        </w:tc>
        <w:tc>
          <w:tcPr>
            <w:tcW w:w="4680" w:type="dxa"/>
          </w:tcPr>
          <w:p>
            <w:pPr/>
            <w:r>
              <w:t xml:space="preserve">Technisch gleichwertig, volle Kontrolle über den Speicherort. Erfordert jedoch Beschaffung, laufende Wartung, Backup-Konzept und Patch-Management – zusätzlicher Aufwand ohne Sicherheitsgewinn gegenüber der empfohlenen Variante.</w:t>
            </w:r>
          </w:p>
        </w:tc>
      </w:tr>
      <w:tr>
        <w:tc>
          <w:tcPr>
            <w:tcW w:w="4680" w:type="dxa"/>
          </w:tcPr>
          <w:p>
            <w:pPr/>
            <w:r>
              <w:t xml:space="preserve">Externer Cloud-Anbieter</w:t>
            </w:r>
          </w:p>
        </w:tc>
        <w:tc>
          <w:tcPr>
            <w:tcW w:w="4680" w:type="dxa"/>
          </w:tcPr>
          <w:p>
            <w:pPr/>
            <w:r>
              <w:t xml:space="preserve">Erfordert einen neuen Vertrag, einen Auftragsverarbeitungsvertrag und eine eigene Datenschutzprüfung. Kein Vorteil gegenüber der bereits freigegebenen Microsoft-Umgebung.</w:t>
            </w:r>
          </w:p>
        </w:tc>
      </w:tr>
      <w:tr>
        <w:tc>
          <w:tcPr>
            <w:tcW w:w="4680" w:type="dxa"/>
          </w:tcPr>
          <w:p>
            <w:pPr/>
            <w:r>
              <w:t xml:space="preserve">Fertige CRM-Software</w:t>
            </w:r>
          </w:p>
        </w:tc>
        <w:tc>
          <w:tcPr>
            <w:tcW w:w="4680" w:type="dxa"/>
          </w:tcPr>
          <w:p>
            <w:pPr/>
            <w:r>
              <w:t xml:space="preserve">Keines der gängigen Produkte bildet die spezifischen Bereiche Ausweis, Versicherung, Steuer und Zufriedenheit in dieser Form ab. Anpassung wäre teurer als die vorhandene Eigenentwicklung.</w:t>
            </w:r>
          </w:p>
        </w:tc>
      </w:tr>
      <w:tr>
        <w:tc>
          <w:tcPr>
            <w:tcW w:w="4680" w:type="dxa"/>
          </w:tcPr>
          <w:p>
            <w:pPr/>
            <w:r>
              <w:t xml:space="preserve">Bisheriger Zustand beibehalten</w:t>
            </w:r>
          </w:p>
        </w:tc>
        <w:tc>
          <w:tcPr>
            <w:tcW w:w="4680" w:type="dxa"/>
          </w:tcPr>
          <w:p>
            <w:pPr/>
            <w:r>
              <w:t xml:space="preserve">Keine Option für echte Daten, siehe den Abschnitt zum aktuellen Stand.</w:t>
            </w:r>
          </w:p>
        </w:tc>
      </w:tr>
    </w:tbl>
    <w:p>
      <w:pPr/>
      <w:r>
        <w:t xml:space="preserve">Die Empfehlung folgt einem einfachen Grundsatz: Je weniger neue Vertrauensbeziehungen eine Lösung erfordert, desto kleiner die Angriffsfläche und desto geringer der Prüfaufwand.</w:t>
      </w:r>
    </w:p>
    <w:p>
      <w:pPr>
        <w:pStyle w:val="Heading2"/>
      </w:pPr>
      <w:r>
        <w:t xml:space="preserve">Nächste Schritte</w:t>
      </w:r>
    </w:p>
    <w:p>
      <w:pPr>
        <w:pStyle w:val="ListParagraph"/>
        <w:numPr>
          <w:ilvl w:val="0"/>
          <w:numId w:val="5"/>
        </w:numPr>
      </w:pPr>
      <w:r>
        <w:rPr>
          <w:b/>
        </w:rPr>
        <w:t xml:space="preserve">Anwendung ansehen.</w:t>
      </w:r>
      <w:r>
        <w:t xml:space="preserve"> Die Erprobungsversion läuft und kann jederzeit vorgeführt werden. Sie enthält ausschließlich Beispieldaten.</w:t>
      </w:r>
    </w:p>
    <w:p>
      <w:pPr>
        <w:pStyle w:val="ListParagraph"/>
        <w:numPr>
          <w:ilvl w:val="0"/>
          <w:numId w:val="5"/>
        </w:numPr>
      </w:pPr>
      <w:r>
        <w:rPr>
          <w:b/>
        </w:rPr>
        <w:t xml:space="preserve">Grundsätzliche Freigabe</w:t>
      </w:r>
      <w:r>
        <w:t xml:space="preserve"> der empfohlenen Variante durch die Geschäftsführung.</w:t>
      </w:r>
    </w:p>
    <w:p>
      <w:pPr>
        <w:pStyle w:val="ListParagraph"/>
        <w:numPr>
          <w:ilvl w:val="0"/>
          <w:numId w:val="5"/>
        </w:numPr>
      </w:pPr>
      <w:r>
        <w:rPr>
          <w:b/>
        </w:rPr>
        <w:t xml:space="preserve">Abstimmung mit Spruck</w:t>
      </w:r>
      <w:r>
        <w:t xml:space="preserve"> anhand der Anforderungsliste; Aufwands- und Kostenschätzung einholen.</w:t>
      </w:r>
    </w:p>
    <w:p>
      <w:pPr>
        <w:pStyle w:val="ListParagraph"/>
        <w:numPr>
          <w:ilvl w:val="0"/>
          <w:numId w:val="5"/>
        </w:numPr>
      </w:pPr>
      <w:r>
        <w:rPr>
          <w:b/>
        </w:rPr>
        <w:t xml:space="preserve">Umsetzung der Anbindung</w:t>
      </w:r>
      <w:r>
        <w:t xml:space="preserve"> an Entra ID und SharePoint, parallel zur weiteren Nutzung der Erprobungsversion.</w:t>
      </w:r>
    </w:p>
    <w:p>
      <w:pPr>
        <w:pStyle w:val="ListParagraph"/>
        <w:numPr>
          <w:ilvl w:val="0"/>
          <w:numId w:val="5"/>
        </w:numPr>
      </w:pPr>
      <w:r>
        <w:rPr>
          <w:b/>
        </w:rPr>
        <w:t xml:space="preserve">Datenschutzpunkte klären:</w:t>
      </w:r>
      <w:r>
        <w:t xml:space="preserve"> Einwilligung für Gesundheitsdaten und Löschfristen festlegen.</w:t>
      </w:r>
    </w:p>
    <w:p>
      <w:pPr>
        <w:pStyle w:val="ListParagraph"/>
        <w:numPr>
          <w:ilvl w:val="0"/>
          <w:numId w:val="5"/>
        </w:numPr>
      </w:pPr>
      <w:r>
        <w:rPr>
          <w:b/>
        </w:rPr>
        <w:t xml:space="preserve">Produktivnahme</w:t>
      </w:r>
      <w:r>
        <w:t xml:space="preserve"> mit echten Spielerdaten, erst nach Abschluss der Schritte 4 und 5.</w:t>
      </w:r>
    </w:p>
    <w:p>
      <w:pPr/>
      <w:r>
        <w:t xml:space="preserve">Die Schritte 3 bis 5 können parallel laufen. Vor Schritt 6 sollten alle vorherigen abgeschlossen sein.</w:t>
      </w:r>
    </w:p>
    <w:p>
      <w:pPr/>
      <w:r>
        <w:rPr>
          <w:b/>
        </w:rPr>
        <w:t xml:space="preserve">Offene Frage an die IT-Betreuung:</w:t>
      </w:r>
      <w:r>
        <w:t xml:space="preserve"> Besteht bereits ein Azure-Abonnement im Tenant, oder soll die Anwendung auf vorhandener Infrastruktur betrieben werden? Davon hängen die laufenden Kosten ab – im ersten Fall liegen sie im niedrigen zweistelligen Bereich pro Monat, im zweiten entfallen sie weitgehend.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Player Relations CRM</dc:title>
  <dc:description>Claude Docs node/df132f7e-5f95@19 docx-w6</dc:description>
  <cp:revision>19</cp:revision>
</cp:coreProperties>
</file>