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4"/>
        </w:rPr>
        <w:t>J&amp;J VENTURES</w:t>
      </w:r>
    </w:p>
    <w:p>
      <w:pPr>
        <w:spacing w:before="0" w:after="280"/>
      </w:pPr>
      <w:r>
        <w:rPr>
          <w:rFonts w:ascii="Calibri" w:hAnsi="Calibri"/>
          <w:b/>
          <w:color w:val="00B8EA"/>
          <w:sz w:val="20"/>
        </w:rPr>
        <w:t>PROSPECCIÓN OUTBOUND B2B · MODELO FINANCIERO Y ESTRUCTURA DE PAQUETES</w:t>
      </w:r>
    </w:p>
    <w:p>
      <w:pPr>
        <w:spacing w:after="280"/>
      </w:pPr>
      <w:r>
        <w:rPr>
          <w:i/>
          <w:color w:val="64748B"/>
          <w:sz w:val="18"/>
        </w:rPr>
        <w:t>Venta de Output: Citas Comerciales Calificadas con Decisores | Prov. 16:3</w:t>
      </w:r>
    </w:p>
    <w:p>
      <w:pPr>
        <w:pStyle w:val="Heading1"/>
        <w:spacing w:before="240" w:after="120"/>
      </w:pPr>
      <w:r>
        <w:rPr>
          <w:rFonts w:ascii="Arial" w:hAnsi="Arial"/>
          <w:b/>
          <w:color w:val="0F172A"/>
          <w:sz w:val="26"/>
        </w:rPr>
        <w:t>1. Resumen Ejecutivo de la Oferta</w:t>
      </w:r>
    </w:p>
    <w:p>
      <w:pPr>
        <w:spacing w:after="160"/>
      </w:pPr>
      <w:r>
        <w:t>J&amp;J Ventures diseña, opera y garantiza sistemas de prospección outbound B2B mediante infraestructura de cold email masivo dedicada. A diferencia de las agencias de marketing tradicionales que cobran por horas o publicaciones en redes, J&amp;J Ventures comercializa el resultado final: juntas comerciales calificadas directamente en el calendario del equipo de ventas del cliente, respaldadas con garantía de reposición por contrato.</w:t>
      </w:r>
    </w:p>
    <w:p>
      <w:pPr>
        <w:spacing w:after="280"/>
      </w:pPr>
      <w:r>
        <w:t>Fórmula de Pricing: Múltiplo de Setup de 2.0x costo (para mantener una barrera de entrada accesible que autofinancia el 100% de la infraestructura técnica) y Múltiplo de Retainer de 3.0x costo COGS con anclaje de precios psicológicos estratégicos ($670 / $890 / $1,460 en Setup y $1,790 / $2,870 / $4,970 USD/mes en Retainer).</w:t>
      </w:r>
    </w:p>
    <w:p>
      <w:pPr>
        <w:pStyle w:val="Heading1"/>
        <w:spacing w:before="280" w:after="120"/>
      </w:pPr>
      <w:r>
        <w:rPr>
          <w:rFonts w:ascii="Arial" w:hAnsi="Arial"/>
          <w:b/>
          <w:color w:val="0F172A"/>
          <w:sz w:val="26"/>
        </w:rPr>
        <w:t>2. Matriz Maestra de Paquetes y Rentabilidad</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312"/>
            <w:vAlign w:val="center"/>
            <w:tcMar>
              <w:top w:w="100" w:type="dxa"/>
              <w:bottom w:w="100" w:type="dxa"/>
              <w:left w:w="120" w:type="dxa"/>
              <w:right w:w="120" w:type="dxa"/>
            </w:tcMar>
            <w:shd w:fill="0F172A"/>
          </w:tcPr>
          <w:p>
            <w:pPr>
              <w:spacing w:before="0" w:after="0"/>
            </w:pPr>
            <w:r>
              <w:rPr>
                <w:rFonts w:ascii="Calibri" w:hAnsi="Calibri"/>
                <w:b/>
                <w:color w:val="FFFFFF"/>
                <w:sz w:val="17"/>
              </w:rPr>
              <w:t>Métrica / Concepto</w:t>
            </w:r>
          </w:p>
        </w:tc>
        <w:tc>
          <w:tcPr>
            <w:tcW w:type="dxa" w:w="2592"/>
            <w:vAlign w:val="center"/>
            <w:tcMar>
              <w:top w:w="100" w:type="dxa"/>
              <w:bottom w:w="100" w:type="dxa"/>
              <w:left w:w="120" w:type="dxa"/>
              <w:right w:w="120" w:type="dxa"/>
            </w:tcMar>
            <w:shd w:fill="0F172A"/>
          </w:tcPr>
          <w:p>
            <w:pPr>
              <w:spacing w:before="0" w:after="0"/>
            </w:pPr>
            <w:r>
              <w:rPr>
                <w:rFonts w:ascii="Calibri" w:hAnsi="Calibri"/>
                <w:b/>
                <w:color w:val="FFFFFF"/>
                <w:sz w:val="17"/>
              </w:rPr>
              <w:t>Paquete 1: Motor Base</w:t>
            </w:r>
          </w:p>
        </w:tc>
        <w:tc>
          <w:tcPr>
            <w:tcW w:type="dxa" w:w="3168"/>
            <w:vAlign w:val="center"/>
            <w:tcMar>
              <w:top w:w="100" w:type="dxa"/>
              <w:bottom w:w="100" w:type="dxa"/>
              <w:left w:w="120" w:type="dxa"/>
              <w:right w:w="120" w:type="dxa"/>
            </w:tcMar>
            <w:shd w:fill="0F172A"/>
          </w:tcPr>
          <w:p>
            <w:pPr>
              <w:spacing w:before="0" w:after="0"/>
            </w:pPr>
            <w:r>
              <w:rPr>
                <w:rFonts w:ascii="Calibri" w:hAnsi="Calibri"/>
                <w:b/>
                <w:color w:val="FFFFFF"/>
                <w:sz w:val="17"/>
              </w:rPr>
              <w:t>Paquete 2: Acelerador Growth (Estrella)</w:t>
            </w:r>
          </w:p>
        </w:tc>
        <w:tc>
          <w:tcPr>
            <w:tcW w:type="dxa" w:w="3024"/>
            <w:vAlign w:val="center"/>
            <w:tcMar>
              <w:top w:w="100" w:type="dxa"/>
              <w:bottom w:w="100" w:type="dxa"/>
              <w:left w:w="120" w:type="dxa"/>
              <w:right w:w="120" w:type="dxa"/>
            </w:tcMar>
            <w:shd w:fill="0F172A"/>
          </w:tcPr>
          <w:p>
            <w:pPr>
              <w:spacing w:before="0" w:after="0"/>
            </w:pPr>
            <w:r>
              <w:rPr>
                <w:rFonts w:ascii="Calibri" w:hAnsi="Calibri"/>
                <w:b/>
                <w:color w:val="FFFFFF"/>
                <w:sz w:val="17"/>
              </w:rPr>
              <w:t>Paquete 3: Dominación Enterprise</w:t>
            </w:r>
          </w:p>
        </w:tc>
      </w:tr>
      <w:tr>
        <w:tc>
          <w:tcPr>
            <w:tcW w:type="dxa" w:w="3312"/>
            <w:vAlign w:val="center"/>
            <w:tcMar>
              <w:top w:w="100" w:type="dxa"/>
              <w:bottom w:w="100" w:type="dxa"/>
              <w:left w:w="120" w:type="dxa"/>
              <w:right w:w="120" w:type="dxa"/>
            </w:tcMar>
            <w:shd w:fill="F8FAFC"/>
          </w:tcPr>
          <w:p>
            <w:pPr>
              <w:spacing w:before="0" w:after="0"/>
            </w:pPr>
            <w:r>
              <w:rPr>
                <w:rFonts w:ascii="Calibri" w:hAnsi="Calibri"/>
                <w:b/>
                <w:color w:val="334155"/>
                <w:sz w:val="17"/>
              </w:rPr>
              <w:t>Capacidad de Envíos / mes</w:t>
            </w:r>
          </w:p>
        </w:tc>
        <w:tc>
          <w:tcPr>
            <w:tcW w:type="dxa" w:w="2592"/>
            <w:vAlign w:val="center"/>
            <w:tcMar>
              <w:top w:w="100" w:type="dxa"/>
              <w:bottom w:w="100" w:type="dxa"/>
              <w:left w:w="120" w:type="dxa"/>
              <w:right w:w="120" w:type="dxa"/>
            </w:tcMar>
            <w:shd w:fill="F8FAFC"/>
          </w:tcPr>
          <w:p>
            <w:pPr>
              <w:spacing w:before="0" w:after="0"/>
            </w:pPr>
            <w:r>
              <w:rPr>
                <w:rFonts w:ascii="Calibri" w:hAnsi="Calibri"/>
                <w:color w:val="1E293B"/>
                <w:sz w:val="17"/>
              </w:rPr>
              <w:t>125,000 correos</w:t>
            </w:r>
          </w:p>
        </w:tc>
        <w:tc>
          <w:tcPr>
            <w:tcW w:type="dxa" w:w="3168"/>
            <w:vAlign w:val="center"/>
            <w:tcMar>
              <w:top w:w="100" w:type="dxa"/>
              <w:bottom w:w="100" w:type="dxa"/>
              <w:left w:w="120" w:type="dxa"/>
              <w:right w:w="120" w:type="dxa"/>
            </w:tcMar>
            <w:shd w:fill="F8FAFC"/>
          </w:tcPr>
          <w:p>
            <w:pPr>
              <w:spacing w:before="0" w:after="0"/>
            </w:pPr>
            <w:r>
              <w:rPr>
                <w:rFonts w:ascii="Calibri" w:hAnsi="Calibri"/>
                <w:color w:val="1E293B"/>
                <w:sz w:val="17"/>
              </w:rPr>
              <w:t>250,000 correos</w:t>
            </w:r>
          </w:p>
        </w:tc>
        <w:tc>
          <w:tcPr>
            <w:tcW w:type="dxa" w:w="3024"/>
            <w:vAlign w:val="center"/>
            <w:tcMar>
              <w:top w:w="100" w:type="dxa"/>
              <w:bottom w:w="100" w:type="dxa"/>
              <w:left w:w="120" w:type="dxa"/>
              <w:right w:w="120" w:type="dxa"/>
            </w:tcMar>
            <w:shd w:fill="F8FAFC"/>
          </w:tcPr>
          <w:p>
            <w:pPr>
              <w:spacing w:before="0" w:after="0"/>
            </w:pPr>
            <w:r>
              <w:rPr>
                <w:rFonts w:ascii="Calibri" w:hAnsi="Calibri"/>
                <w:color w:val="1E293B"/>
                <w:sz w:val="17"/>
              </w:rPr>
              <w:t>500,000 correos</w:t>
            </w:r>
          </w:p>
        </w:tc>
      </w:tr>
      <w:tr>
        <w:tc>
          <w:tcPr>
            <w:tcW w:type="dxa" w:w="3312"/>
            <w:vAlign w:val="center"/>
            <w:tcMar>
              <w:top w:w="100" w:type="dxa"/>
              <w:bottom w:w="100" w:type="dxa"/>
              <w:left w:w="120" w:type="dxa"/>
              <w:right w:w="120" w:type="dxa"/>
            </w:tcMar>
          </w:tcPr>
          <w:p>
            <w:pPr>
              <w:spacing w:before="0" w:after="0"/>
            </w:pPr>
            <w:r>
              <w:rPr>
                <w:rFonts w:ascii="Calibri" w:hAnsi="Calibri"/>
                <w:b/>
                <w:color w:val="334155"/>
                <w:sz w:val="17"/>
              </w:rPr>
              <w:t>Prospectos Netos Calificados</w:t>
            </w:r>
          </w:p>
        </w:tc>
        <w:tc>
          <w:tcPr>
            <w:tcW w:type="dxa" w:w="2592"/>
            <w:vAlign w:val="center"/>
            <w:tcMar>
              <w:top w:w="100" w:type="dxa"/>
              <w:bottom w:w="100" w:type="dxa"/>
              <w:left w:w="120" w:type="dxa"/>
              <w:right w:w="120" w:type="dxa"/>
            </w:tcMar>
          </w:tcPr>
          <w:p>
            <w:pPr>
              <w:spacing w:before="0" w:after="0"/>
            </w:pPr>
            <w:r>
              <w:rPr>
                <w:rFonts w:ascii="Calibri" w:hAnsi="Calibri"/>
                <w:color w:val="1E293B"/>
                <w:sz w:val="17"/>
              </w:rPr>
              <w:t>~30,000 decisores</w:t>
            </w:r>
          </w:p>
        </w:tc>
        <w:tc>
          <w:tcPr>
            <w:tcW w:type="dxa" w:w="3168"/>
            <w:vAlign w:val="center"/>
            <w:tcMar>
              <w:top w:w="100" w:type="dxa"/>
              <w:bottom w:w="100" w:type="dxa"/>
              <w:left w:w="120" w:type="dxa"/>
              <w:right w:w="120" w:type="dxa"/>
            </w:tcMar>
          </w:tcPr>
          <w:p>
            <w:pPr>
              <w:spacing w:before="0" w:after="0"/>
            </w:pPr>
            <w:r>
              <w:rPr>
                <w:rFonts w:ascii="Calibri" w:hAnsi="Calibri"/>
                <w:color w:val="1E293B"/>
                <w:sz w:val="17"/>
              </w:rPr>
              <w:t>~60,000 decisores</w:t>
            </w:r>
          </w:p>
        </w:tc>
        <w:tc>
          <w:tcPr>
            <w:tcW w:type="dxa" w:w="3024"/>
            <w:vAlign w:val="center"/>
            <w:tcMar>
              <w:top w:w="100" w:type="dxa"/>
              <w:bottom w:w="100" w:type="dxa"/>
              <w:left w:w="120" w:type="dxa"/>
              <w:right w:w="120" w:type="dxa"/>
            </w:tcMar>
          </w:tcPr>
          <w:p>
            <w:pPr>
              <w:spacing w:before="0" w:after="0"/>
            </w:pPr>
            <w:r>
              <w:rPr>
                <w:rFonts w:ascii="Calibri" w:hAnsi="Calibri"/>
                <w:color w:val="1E293B"/>
                <w:sz w:val="17"/>
              </w:rPr>
              <w:t>~125,000 decisores</w:t>
            </w:r>
          </w:p>
        </w:tc>
      </w:tr>
      <w:tr>
        <w:tc>
          <w:tcPr>
            <w:tcW w:type="dxa" w:w="3312"/>
            <w:vAlign w:val="center"/>
            <w:tcMar>
              <w:top w:w="100" w:type="dxa"/>
              <w:bottom w:w="100" w:type="dxa"/>
              <w:left w:w="120" w:type="dxa"/>
              <w:right w:w="120" w:type="dxa"/>
            </w:tcMar>
            <w:shd w:fill="F8FAFC"/>
          </w:tcPr>
          <w:p>
            <w:pPr>
              <w:spacing w:before="0" w:after="0"/>
            </w:pPr>
            <w:r>
              <w:rPr>
                <w:rFonts w:ascii="Calibri" w:hAnsi="Calibri"/>
                <w:b/>
                <w:color w:val="334155"/>
                <w:sz w:val="17"/>
              </w:rPr>
              <w:t>Citas Estimadas / mes</w:t>
            </w:r>
          </w:p>
        </w:tc>
        <w:tc>
          <w:tcPr>
            <w:tcW w:type="dxa" w:w="2592"/>
            <w:vAlign w:val="center"/>
            <w:tcMar>
              <w:top w:w="100" w:type="dxa"/>
              <w:bottom w:w="100" w:type="dxa"/>
              <w:left w:w="120" w:type="dxa"/>
              <w:right w:w="120" w:type="dxa"/>
            </w:tcMar>
            <w:shd w:fill="F8FAFC"/>
          </w:tcPr>
          <w:p>
            <w:pPr>
              <w:spacing w:before="0" w:after="0"/>
            </w:pPr>
            <w:r>
              <w:rPr>
                <w:rFonts w:ascii="Calibri" w:hAnsi="Calibri"/>
                <w:color w:val="1E293B"/>
                <w:sz w:val="17"/>
              </w:rPr>
              <w:t>20 a 40 citas</w:t>
            </w:r>
          </w:p>
        </w:tc>
        <w:tc>
          <w:tcPr>
            <w:tcW w:type="dxa" w:w="3168"/>
            <w:vAlign w:val="center"/>
            <w:tcMar>
              <w:top w:w="100" w:type="dxa"/>
              <w:bottom w:w="100" w:type="dxa"/>
              <w:left w:w="120" w:type="dxa"/>
              <w:right w:w="120" w:type="dxa"/>
            </w:tcMar>
            <w:shd w:fill="F8FAFC"/>
          </w:tcPr>
          <w:p>
            <w:pPr>
              <w:spacing w:before="0" w:after="0"/>
            </w:pPr>
            <w:r>
              <w:rPr>
                <w:rFonts w:ascii="Calibri" w:hAnsi="Calibri"/>
                <w:color w:val="1E293B"/>
                <w:sz w:val="17"/>
              </w:rPr>
              <w:t>50 a 80 citas</w:t>
            </w:r>
          </w:p>
        </w:tc>
        <w:tc>
          <w:tcPr>
            <w:tcW w:type="dxa" w:w="3024"/>
            <w:vAlign w:val="center"/>
            <w:tcMar>
              <w:top w:w="100" w:type="dxa"/>
              <w:bottom w:w="100" w:type="dxa"/>
              <w:left w:w="120" w:type="dxa"/>
              <w:right w:w="120" w:type="dxa"/>
            </w:tcMar>
            <w:shd w:fill="F8FAFC"/>
          </w:tcPr>
          <w:p>
            <w:pPr>
              <w:spacing w:before="0" w:after="0"/>
            </w:pPr>
            <w:r>
              <w:rPr>
                <w:rFonts w:ascii="Calibri" w:hAnsi="Calibri"/>
                <w:color w:val="1E293B"/>
                <w:sz w:val="17"/>
              </w:rPr>
              <w:t>+100 citas</w:t>
            </w:r>
          </w:p>
        </w:tc>
      </w:tr>
      <w:tr>
        <w:tc>
          <w:tcPr>
            <w:tcW w:type="dxa" w:w="3312"/>
            <w:vAlign w:val="center"/>
            <w:tcMar>
              <w:top w:w="100" w:type="dxa"/>
              <w:bottom w:w="100" w:type="dxa"/>
              <w:left w:w="120" w:type="dxa"/>
              <w:right w:w="120" w:type="dxa"/>
            </w:tcMar>
          </w:tcPr>
          <w:p>
            <w:pPr>
              <w:spacing w:before="0" w:after="0"/>
            </w:pPr>
            <w:r>
              <w:rPr>
                <w:rFonts w:ascii="Calibri" w:hAnsi="Calibri"/>
                <w:b/>
                <w:color w:val="0F172A"/>
                <w:sz w:val="17"/>
              </w:rPr>
              <w:t>Citas MÍNIMAS Garantizadas</w:t>
            </w:r>
          </w:p>
        </w:tc>
        <w:tc>
          <w:tcPr>
            <w:tcW w:type="dxa" w:w="2592"/>
            <w:vAlign w:val="center"/>
            <w:tcMar>
              <w:top w:w="100" w:type="dxa"/>
              <w:bottom w:w="100" w:type="dxa"/>
              <w:left w:w="120" w:type="dxa"/>
              <w:right w:w="120" w:type="dxa"/>
            </w:tcMar>
            <w:shd w:fill="F1F5F9"/>
          </w:tcPr>
          <w:p>
            <w:pPr>
              <w:spacing w:before="0" w:after="0"/>
            </w:pPr>
            <w:r>
              <w:rPr>
                <w:rFonts w:ascii="Calibri" w:hAnsi="Calibri"/>
                <w:b/>
                <w:color w:val="0F172A"/>
                <w:sz w:val="17"/>
              </w:rPr>
              <w:t>15 citas / mes</w:t>
            </w:r>
          </w:p>
        </w:tc>
        <w:tc>
          <w:tcPr>
            <w:tcW w:type="dxa" w:w="3168"/>
            <w:vAlign w:val="center"/>
            <w:tcMar>
              <w:top w:w="100" w:type="dxa"/>
              <w:bottom w:w="100" w:type="dxa"/>
              <w:left w:w="120" w:type="dxa"/>
              <w:right w:w="120" w:type="dxa"/>
            </w:tcMar>
            <w:shd w:fill="E0F2FE"/>
          </w:tcPr>
          <w:p>
            <w:pPr>
              <w:spacing w:before="0" w:after="0"/>
            </w:pPr>
            <w:r>
              <w:rPr>
                <w:rFonts w:ascii="Calibri" w:hAnsi="Calibri"/>
                <w:b/>
                <w:color w:val="0F172A"/>
                <w:sz w:val="17"/>
              </w:rPr>
              <w:t>30 citas / mes</w:t>
            </w:r>
          </w:p>
        </w:tc>
        <w:tc>
          <w:tcPr>
            <w:tcW w:type="dxa" w:w="3024"/>
            <w:vAlign w:val="center"/>
            <w:tcMar>
              <w:top w:w="100" w:type="dxa"/>
              <w:bottom w:w="100" w:type="dxa"/>
              <w:left w:w="120" w:type="dxa"/>
              <w:right w:w="120" w:type="dxa"/>
            </w:tcMar>
            <w:shd w:fill="F1F5F9"/>
          </w:tcPr>
          <w:p>
            <w:pPr>
              <w:spacing w:before="0" w:after="0"/>
            </w:pPr>
            <w:r>
              <w:rPr>
                <w:rFonts w:ascii="Calibri" w:hAnsi="Calibri"/>
                <w:b/>
                <w:color w:val="0F172A"/>
                <w:sz w:val="17"/>
              </w:rPr>
              <w:t>60 citas / mes</w:t>
            </w:r>
          </w:p>
        </w:tc>
      </w:tr>
      <w:tr>
        <w:tc>
          <w:tcPr>
            <w:tcW w:type="dxa" w:w="3312"/>
            <w:vAlign w:val="center"/>
            <w:tcMar>
              <w:top w:w="100" w:type="dxa"/>
              <w:bottom w:w="100" w:type="dxa"/>
              <w:left w:w="120" w:type="dxa"/>
              <w:right w:w="120" w:type="dxa"/>
            </w:tcMar>
            <w:shd w:fill="F8FAFC"/>
          </w:tcPr>
          <w:p>
            <w:pPr>
              <w:spacing w:before="0" w:after="0"/>
            </w:pPr>
            <w:r>
              <w:rPr>
                <w:rFonts w:ascii="Calibri" w:hAnsi="Calibri"/>
                <w:b/>
                <w:color w:val="334155"/>
                <w:sz w:val="17"/>
              </w:rPr>
              <w:t>Infraestructura Dedicada</w:t>
            </w:r>
          </w:p>
        </w:tc>
        <w:tc>
          <w:tcPr>
            <w:tcW w:type="dxa" w:w="2592"/>
            <w:vAlign w:val="center"/>
            <w:tcMar>
              <w:top w:w="100" w:type="dxa"/>
              <w:bottom w:w="100" w:type="dxa"/>
              <w:left w:w="120" w:type="dxa"/>
              <w:right w:w="120" w:type="dxa"/>
            </w:tcMar>
            <w:shd w:fill="F8FAFC"/>
          </w:tcPr>
          <w:p>
            <w:pPr>
              <w:spacing w:before="0" w:after="0"/>
            </w:pPr>
            <w:r>
              <w:rPr>
                <w:rFonts w:ascii="Calibri" w:hAnsi="Calibri"/>
                <w:color w:val="1E293B"/>
                <w:sz w:val="17"/>
              </w:rPr>
              <w:t>35 Dominios / 140 Buzones</w:t>
            </w:r>
          </w:p>
        </w:tc>
        <w:tc>
          <w:tcPr>
            <w:tcW w:type="dxa" w:w="3168"/>
            <w:vAlign w:val="center"/>
            <w:tcMar>
              <w:top w:w="100" w:type="dxa"/>
              <w:bottom w:w="100" w:type="dxa"/>
              <w:left w:w="120" w:type="dxa"/>
              <w:right w:w="120" w:type="dxa"/>
            </w:tcMar>
            <w:shd w:fill="F8FAFC"/>
          </w:tcPr>
          <w:p>
            <w:pPr>
              <w:spacing w:before="0" w:after="0"/>
            </w:pPr>
            <w:r>
              <w:rPr>
                <w:rFonts w:ascii="Calibri" w:hAnsi="Calibri"/>
                <w:color w:val="1E293B"/>
                <w:sz w:val="17"/>
              </w:rPr>
              <w:t>70 Dominios / 280 Buzones</w:t>
            </w:r>
          </w:p>
        </w:tc>
        <w:tc>
          <w:tcPr>
            <w:tcW w:type="dxa" w:w="3024"/>
            <w:vAlign w:val="center"/>
            <w:tcMar>
              <w:top w:w="100" w:type="dxa"/>
              <w:bottom w:w="100" w:type="dxa"/>
              <w:left w:w="120" w:type="dxa"/>
              <w:right w:w="120" w:type="dxa"/>
            </w:tcMar>
            <w:shd w:fill="F8FAFC"/>
          </w:tcPr>
          <w:p>
            <w:pPr>
              <w:spacing w:before="0" w:after="0"/>
            </w:pPr>
            <w:r>
              <w:rPr>
                <w:rFonts w:ascii="Calibri" w:hAnsi="Calibri"/>
                <w:color w:val="1E293B"/>
                <w:sz w:val="17"/>
              </w:rPr>
              <w:t>140 Dominios / 560 Buzones</w:t>
            </w:r>
          </w:p>
        </w:tc>
      </w:tr>
      <w:tr>
        <w:tc>
          <w:tcPr>
            <w:tcW w:type="dxa" w:w="3312"/>
            <w:vAlign w:val="center"/>
            <w:tcMar>
              <w:top w:w="100" w:type="dxa"/>
              <w:bottom w:w="100" w:type="dxa"/>
              <w:left w:w="120" w:type="dxa"/>
              <w:right w:w="120" w:type="dxa"/>
            </w:tcMar>
          </w:tcPr>
          <w:p>
            <w:pPr>
              <w:spacing w:before="0" w:after="0"/>
            </w:pPr>
            <w:r>
              <w:rPr>
                <w:rFonts w:ascii="Calibri" w:hAnsi="Calibri"/>
                <w:b/>
                <w:color w:val="334155"/>
                <w:sz w:val="17"/>
              </w:rPr>
              <w:t>Proveedor de Buzones</w:t>
            </w:r>
          </w:p>
        </w:tc>
        <w:tc>
          <w:tcPr>
            <w:tcW w:type="dxa" w:w="2592"/>
            <w:vAlign w:val="center"/>
            <w:tcMar>
              <w:top w:w="100" w:type="dxa"/>
              <w:bottom w:w="100" w:type="dxa"/>
              <w:left w:w="120" w:type="dxa"/>
              <w:right w:w="120" w:type="dxa"/>
            </w:tcMar>
          </w:tcPr>
          <w:p>
            <w:pPr>
              <w:spacing w:before="0" w:after="0"/>
            </w:pPr>
            <w:r>
              <w:rPr>
                <w:rFonts w:ascii="Calibri" w:hAnsi="Calibri"/>
                <w:color w:val="1E293B"/>
                <w:sz w:val="17"/>
              </w:rPr>
              <w:t>Inframail (Plan 300)</w:t>
            </w:r>
          </w:p>
        </w:tc>
        <w:tc>
          <w:tcPr>
            <w:tcW w:type="dxa" w:w="3168"/>
            <w:vAlign w:val="center"/>
            <w:tcMar>
              <w:top w:w="100" w:type="dxa"/>
              <w:bottom w:w="100" w:type="dxa"/>
              <w:left w:w="120" w:type="dxa"/>
              <w:right w:w="120" w:type="dxa"/>
            </w:tcMar>
          </w:tcPr>
          <w:p>
            <w:pPr>
              <w:spacing w:before="0" w:after="0"/>
            </w:pPr>
            <w:r>
              <w:rPr>
                <w:rFonts w:ascii="Calibri" w:hAnsi="Calibri"/>
                <w:color w:val="1E293B"/>
                <w:sz w:val="17"/>
              </w:rPr>
              <w:t>Inframail (Plan 300)</w:t>
            </w:r>
          </w:p>
        </w:tc>
        <w:tc>
          <w:tcPr>
            <w:tcW w:type="dxa" w:w="3024"/>
            <w:vAlign w:val="center"/>
            <w:tcMar>
              <w:top w:w="100" w:type="dxa"/>
              <w:bottom w:w="100" w:type="dxa"/>
              <w:left w:w="120" w:type="dxa"/>
              <w:right w:w="120" w:type="dxa"/>
            </w:tcMar>
          </w:tcPr>
          <w:p>
            <w:pPr>
              <w:spacing w:before="0" w:after="0"/>
            </w:pPr>
            <w:r>
              <w:rPr>
                <w:rFonts w:ascii="Calibri" w:hAnsi="Calibri"/>
                <w:color w:val="1E293B"/>
                <w:sz w:val="17"/>
              </w:rPr>
              <w:t>Inframail (2x Plan 300)</w:t>
            </w:r>
          </w:p>
        </w:tc>
      </w:tr>
      <w:tr>
        <w:tc>
          <w:tcPr>
            <w:tcW w:type="dxa" w:w="3312"/>
            <w:vAlign w:val="center"/>
            <w:tcMar>
              <w:top w:w="100" w:type="dxa"/>
              <w:bottom w:w="100" w:type="dxa"/>
              <w:left w:w="120" w:type="dxa"/>
              <w:right w:w="120" w:type="dxa"/>
            </w:tcMar>
            <w:shd w:fill="F8FAFC"/>
          </w:tcPr>
          <w:p>
            <w:pPr>
              <w:spacing w:before="0" w:after="0"/>
            </w:pPr>
            <w:r>
              <w:rPr>
                <w:rFonts w:ascii="Calibri" w:hAnsi="Calibri"/>
                <w:b/>
                <w:color w:val="334155"/>
                <w:sz w:val="17"/>
              </w:rPr>
              <w:t>Costo Real de Setup (Mes 0)</w:t>
            </w:r>
          </w:p>
        </w:tc>
        <w:tc>
          <w:tcPr>
            <w:tcW w:type="dxa" w:w="2592"/>
            <w:vAlign w:val="center"/>
            <w:tcMar>
              <w:top w:w="100" w:type="dxa"/>
              <w:bottom w:w="100" w:type="dxa"/>
              <w:left w:w="120" w:type="dxa"/>
              <w:right w:w="120" w:type="dxa"/>
            </w:tcMar>
            <w:shd w:fill="F8FAFC"/>
          </w:tcPr>
          <w:p>
            <w:pPr>
              <w:spacing w:before="0" w:after="0"/>
            </w:pPr>
            <w:r>
              <w:rPr>
                <w:rFonts w:ascii="Calibri" w:hAnsi="Calibri"/>
                <w:color w:val="1E293B"/>
                <w:sz w:val="17"/>
              </w:rPr>
              <w:t>$348.50 USD</w:t>
            </w:r>
          </w:p>
        </w:tc>
        <w:tc>
          <w:tcPr>
            <w:tcW w:type="dxa" w:w="3168"/>
            <w:vAlign w:val="center"/>
            <w:tcMar>
              <w:top w:w="100" w:type="dxa"/>
              <w:bottom w:w="100" w:type="dxa"/>
              <w:left w:w="120" w:type="dxa"/>
              <w:right w:w="120" w:type="dxa"/>
            </w:tcMar>
            <w:shd w:fill="F8FAFC"/>
          </w:tcPr>
          <w:p>
            <w:pPr>
              <w:spacing w:before="0" w:after="0"/>
            </w:pPr>
            <w:r>
              <w:rPr>
                <w:rFonts w:ascii="Calibri" w:hAnsi="Calibri"/>
                <w:color w:val="1E293B"/>
                <w:sz w:val="17"/>
              </w:rPr>
              <w:t>$426.00 USD</w:t>
            </w:r>
          </w:p>
        </w:tc>
        <w:tc>
          <w:tcPr>
            <w:tcW w:type="dxa" w:w="3024"/>
            <w:vAlign w:val="center"/>
            <w:tcMar>
              <w:top w:w="100" w:type="dxa"/>
              <w:bottom w:w="100" w:type="dxa"/>
              <w:left w:w="120" w:type="dxa"/>
              <w:right w:w="120" w:type="dxa"/>
            </w:tcMar>
            <w:shd w:fill="F8FAFC"/>
          </w:tcPr>
          <w:p>
            <w:pPr>
              <w:spacing w:before="0" w:after="0"/>
            </w:pPr>
            <w:r>
              <w:rPr>
                <w:rFonts w:ascii="Calibri" w:hAnsi="Calibri"/>
                <w:color w:val="1E293B"/>
                <w:sz w:val="17"/>
              </w:rPr>
              <w:t>$755.00 USD</w:t>
            </w:r>
          </w:p>
        </w:tc>
      </w:tr>
      <w:tr>
        <w:tc>
          <w:tcPr>
            <w:tcW w:type="dxa" w:w="3312"/>
            <w:vAlign w:val="center"/>
            <w:tcMar>
              <w:top w:w="100" w:type="dxa"/>
              <w:bottom w:w="100" w:type="dxa"/>
              <w:left w:w="120" w:type="dxa"/>
              <w:right w:w="120" w:type="dxa"/>
            </w:tcMar>
          </w:tcPr>
          <w:p>
            <w:pPr>
              <w:spacing w:before="0" w:after="0"/>
            </w:pPr>
            <w:r>
              <w:rPr>
                <w:rFonts w:ascii="Calibri" w:hAnsi="Calibri"/>
                <w:b/>
                <w:color w:val="0F172A"/>
                <w:sz w:val="17"/>
              </w:rPr>
              <w:t>PRECIO SETUP (Venta 2x)</w:t>
            </w:r>
          </w:p>
        </w:tc>
        <w:tc>
          <w:tcPr>
            <w:tcW w:type="dxa" w:w="2592"/>
            <w:vAlign w:val="center"/>
            <w:tcMar>
              <w:top w:w="100" w:type="dxa"/>
              <w:bottom w:w="100" w:type="dxa"/>
              <w:left w:w="120" w:type="dxa"/>
              <w:right w:w="120" w:type="dxa"/>
            </w:tcMar>
            <w:shd w:fill="F1F5F9"/>
          </w:tcPr>
          <w:p>
            <w:pPr>
              <w:spacing w:before="0" w:after="0"/>
            </w:pPr>
            <w:r>
              <w:rPr>
                <w:rFonts w:ascii="Calibri" w:hAnsi="Calibri"/>
                <w:b/>
                <w:color w:val="0F172A"/>
                <w:sz w:val="17"/>
              </w:rPr>
              <w:t>$670 USD (único)</w:t>
            </w:r>
          </w:p>
        </w:tc>
        <w:tc>
          <w:tcPr>
            <w:tcW w:type="dxa" w:w="3168"/>
            <w:vAlign w:val="center"/>
            <w:tcMar>
              <w:top w:w="100" w:type="dxa"/>
              <w:bottom w:w="100" w:type="dxa"/>
              <w:left w:w="120" w:type="dxa"/>
              <w:right w:w="120" w:type="dxa"/>
            </w:tcMar>
            <w:shd w:fill="E0F2FE"/>
          </w:tcPr>
          <w:p>
            <w:pPr>
              <w:spacing w:before="0" w:after="0"/>
            </w:pPr>
            <w:r>
              <w:rPr>
                <w:rFonts w:ascii="Calibri" w:hAnsi="Calibri"/>
                <w:b/>
                <w:color w:val="0F172A"/>
                <w:sz w:val="17"/>
              </w:rPr>
              <w:t>$890 USD (único)</w:t>
            </w:r>
          </w:p>
        </w:tc>
        <w:tc>
          <w:tcPr>
            <w:tcW w:type="dxa" w:w="3024"/>
            <w:vAlign w:val="center"/>
            <w:tcMar>
              <w:top w:w="100" w:type="dxa"/>
              <w:bottom w:w="100" w:type="dxa"/>
              <w:left w:w="120" w:type="dxa"/>
              <w:right w:w="120" w:type="dxa"/>
            </w:tcMar>
            <w:shd w:fill="F1F5F9"/>
          </w:tcPr>
          <w:p>
            <w:pPr>
              <w:spacing w:before="0" w:after="0"/>
            </w:pPr>
            <w:r>
              <w:rPr>
                <w:rFonts w:ascii="Calibri" w:hAnsi="Calibri"/>
                <w:b/>
                <w:color w:val="0F172A"/>
                <w:sz w:val="17"/>
              </w:rPr>
              <w:t>$1,460 USD (único)</w:t>
            </w:r>
          </w:p>
        </w:tc>
      </w:tr>
      <w:tr>
        <w:tc>
          <w:tcPr>
            <w:tcW w:type="dxa" w:w="3312"/>
            <w:vAlign w:val="center"/>
            <w:tcMar>
              <w:top w:w="100" w:type="dxa"/>
              <w:bottom w:w="100" w:type="dxa"/>
              <w:left w:w="120" w:type="dxa"/>
              <w:right w:w="120" w:type="dxa"/>
            </w:tcMar>
            <w:shd w:fill="F8FAFC"/>
          </w:tcPr>
          <w:p>
            <w:pPr>
              <w:spacing w:before="0" w:after="0"/>
            </w:pPr>
            <w:r>
              <w:rPr>
                <w:rFonts w:ascii="Calibri" w:hAnsi="Calibri"/>
                <w:b/>
                <w:color w:val="334155"/>
                <w:sz w:val="17"/>
              </w:rPr>
              <w:t>Ganancia Neta Setup</w:t>
            </w:r>
          </w:p>
        </w:tc>
        <w:tc>
          <w:tcPr>
            <w:tcW w:type="dxa" w:w="2592"/>
            <w:vAlign w:val="center"/>
            <w:tcMar>
              <w:top w:w="100" w:type="dxa"/>
              <w:bottom w:w="100" w:type="dxa"/>
              <w:left w:w="120" w:type="dxa"/>
              <w:right w:w="120" w:type="dxa"/>
            </w:tcMar>
            <w:shd w:fill="F8FAFC"/>
          </w:tcPr>
          <w:p>
            <w:pPr>
              <w:spacing w:before="0" w:after="0"/>
            </w:pPr>
            <w:r>
              <w:rPr>
                <w:rFonts w:ascii="Calibri" w:hAnsi="Calibri"/>
                <w:color w:val="1E293B"/>
                <w:sz w:val="17"/>
              </w:rPr>
              <w:t>+$321.50 USD (48.0%)</w:t>
            </w:r>
          </w:p>
        </w:tc>
        <w:tc>
          <w:tcPr>
            <w:tcW w:type="dxa" w:w="3168"/>
            <w:vAlign w:val="center"/>
            <w:tcMar>
              <w:top w:w="100" w:type="dxa"/>
              <w:bottom w:w="100" w:type="dxa"/>
              <w:left w:w="120" w:type="dxa"/>
              <w:right w:w="120" w:type="dxa"/>
            </w:tcMar>
            <w:shd w:fill="F8FAFC"/>
          </w:tcPr>
          <w:p>
            <w:pPr>
              <w:spacing w:before="0" w:after="0"/>
            </w:pPr>
            <w:r>
              <w:rPr>
                <w:rFonts w:ascii="Calibri" w:hAnsi="Calibri"/>
                <w:color w:val="1E293B"/>
                <w:sz w:val="17"/>
              </w:rPr>
              <w:t>+$464.00 USD (52.1%)</w:t>
            </w:r>
          </w:p>
        </w:tc>
        <w:tc>
          <w:tcPr>
            <w:tcW w:type="dxa" w:w="3024"/>
            <w:vAlign w:val="center"/>
            <w:tcMar>
              <w:top w:w="100" w:type="dxa"/>
              <w:bottom w:w="100" w:type="dxa"/>
              <w:left w:w="120" w:type="dxa"/>
              <w:right w:w="120" w:type="dxa"/>
            </w:tcMar>
            <w:shd w:fill="F8FAFC"/>
          </w:tcPr>
          <w:p>
            <w:pPr>
              <w:spacing w:before="0" w:after="0"/>
            </w:pPr>
            <w:r>
              <w:rPr>
                <w:rFonts w:ascii="Calibri" w:hAnsi="Calibri"/>
                <w:color w:val="1E293B"/>
                <w:sz w:val="17"/>
              </w:rPr>
              <w:t>+$705.00 USD (48.3%)</w:t>
            </w:r>
          </w:p>
        </w:tc>
      </w:tr>
      <w:tr>
        <w:tc>
          <w:tcPr>
            <w:tcW w:type="dxa" w:w="3312"/>
            <w:vAlign w:val="center"/>
            <w:tcMar>
              <w:top w:w="100" w:type="dxa"/>
              <w:bottom w:w="100" w:type="dxa"/>
              <w:left w:w="120" w:type="dxa"/>
              <w:right w:w="120" w:type="dxa"/>
            </w:tcMar>
          </w:tcPr>
          <w:p>
            <w:pPr>
              <w:spacing w:before="0" w:after="0"/>
            </w:pPr>
            <w:r>
              <w:rPr>
                <w:rFonts w:ascii="Calibri" w:hAnsi="Calibri"/>
                <w:b/>
                <w:color w:val="334155"/>
                <w:sz w:val="17"/>
              </w:rPr>
              <w:t>Costo Mensual de Entrega (COGS)</w:t>
            </w:r>
          </w:p>
        </w:tc>
        <w:tc>
          <w:tcPr>
            <w:tcW w:type="dxa" w:w="2592"/>
            <w:vAlign w:val="center"/>
            <w:tcMar>
              <w:top w:w="100" w:type="dxa"/>
              <w:bottom w:w="100" w:type="dxa"/>
              <w:left w:w="120" w:type="dxa"/>
              <w:right w:w="120" w:type="dxa"/>
            </w:tcMar>
          </w:tcPr>
          <w:p>
            <w:pPr>
              <w:spacing w:before="0" w:after="0"/>
            </w:pPr>
            <w:r>
              <w:rPr>
                <w:rFonts w:ascii="Calibri" w:hAnsi="Calibri"/>
                <w:color w:val="1E293B"/>
                <w:sz w:val="17"/>
              </w:rPr>
              <w:t>$603.50 USD / mes</w:t>
            </w:r>
          </w:p>
        </w:tc>
        <w:tc>
          <w:tcPr>
            <w:tcW w:type="dxa" w:w="3168"/>
            <w:vAlign w:val="center"/>
            <w:tcMar>
              <w:top w:w="100" w:type="dxa"/>
              <w:bottom w:w="100" w:type="dxa"/>
              <w:left w:w="120" w:type="dxa"/>
              <w:right w:w="120" w:type="dxa"/>
            </w:tcMar>
          </w:tcPr>
          <w:p>
            <w:pPr>
              <w:spacing w:before="0" w:after="0"/>
            </w:pPr>
            <w:r>
              <w:rPr>
                <w:rFonts w:ascii="Calibri" w:hAnsi="Calibri"/>
                <w:color w:val="1E293B"/>
                <w:sz w:val="17"/>
              </w:rPr>
              <w:t>$968.00 USD / mes</w:t>
            </w:r>
          </w:p>
        </w:tc>
        <w:tc>
          <w:tcPr>
            <w:tcW w:type="dxa" w:w="3024"/>
            <w:vAlign w:val="center"/>
            <w:tcMar>
              <w:top w:w="100" w:type="dxa"/>
              <w:bottom w:w="100" w:type="dxa"/>
              <w:left w:w="120" w:type="dxa"/>
              <w:right w:w="120" w:type="dxa"/>
            </w:tcMar>
          </w:tcPr>
          <w:p>
            <w:pPr>
              <w:spacing w:before="0" w:after="0"/>
            </w:pPr>
            <w:r>
              <w:rPr>
                <w:rFonts w:ascii="Calibri" w:hAnsi="Calibri"/>
                <w:color w:val="1E293B"/>
                <w:sz w:val="17"/>
              </w:rPr>
              <w:t>$1,866.00 USD / mes</w:t>
            </w:r>
          </w:p>
        </w:tc>
      </w:tr>
      <w:tr>
        <w:tc>
          <w:tcPr>
            <w:tcW w:type="dxa" w:w="3312"/>
            <w:vAlign w:val="center"/>
            <w:tcMar>
              <w:top w:w="100" w:type="dxa"/>
              <w:bottom w:w="100" w:type="dxa"/>
              <w:left w:w="120" w:type="dxa"/>
              <w:right w:w="120" w:type="dxa"/>
            </w:tcMar>
          </w:tcPr>
          <w:p>
            <w:pPr>
              <w:spacing w:before="0" w:after="0"/>
            </w:pPr>
            <w:r>
              <w:rPr>
                <w:rFonts w:ascii="Calibri" w:hAnsi="Calibri"/>
                <w:b/>
                <w:color w:val="0F172A"/>
                <w:sz w:val="17"/>
              </w:rPr>
              <w:t>PRECIO RETAINER MENSUAL</w:t>
            </w:r>
          </w:p>
        </w:tc>
        <w:tc>
          <w:tcPr>
            <w:tcW w:type="dxa" w:w="2592"/>
            <w:vAlign w:val="center"/>
            <w:tcMar>
              <w:top w:w="100" w:type="dxa"/>
              <w:bottom w:w="100" w:type="dxa"/>
              <w:left w:w="120" w:type="dxa"/>
              <w:right w:w="120" w:type="dxa"/>
            </w:tcMar>
            <w:shd w:fill="F1F5F9"/>
          </w:tcPr>
          <w:p>
            <w:pPr>
              <w:spacing w:before="0" w:after="0"/>
            </w:pPr>
            <w:r>
              <w:rPr>
                <w:rFonts w:ascii="Calibri" w:hAnsi="Calibri"/>
                <w:b/>
                <w:color w:val="0F172A"/>
                <w:sz w:val="17"/>
              </w:rPr>
              <w:t>$1,790 USD / mes</w:t>
            </w:r>
          </w:p>
        </w:tc>
        <w:tc>
          <w:tcPr>
            <w:tcW w:type="dxa" w:w="3168"/>
            <w:vAlign w:val="center"/>
            <w:tcMar>
              <w:top w:w="100" w:type="dxa"/>
              <w:bottom w:w="100" w:type="dxa"/>
              <w:left w:w="120" w:type="dxa"/>
              <w:right w:w="120" w:type="dxa"/>
            </w:tcMar>
            <w:shd w:fill="E0F2FE"/>
          </w:tcPr>
          <w:p>
            <w:pPr>
              <w:spacing w:before="0" w:after="0"/>
            </w:pPr>
            <w:r>
              <w:rPr>
                <w:rFonts w:ascii="Calibri" w:hAnsi="Calibri"/>
                <w:b/>
                <w:color w:val="0F172A"/>
                <w:sz w:val="17"/>
              </w:rPr>
              <w:t>$2,870 USD / mes</w:t>
            </w:r>
          </w:p>
        </w:tc>
        <w:tc>
          <w:tcPr>
            <w:tcW w:type="dxa" w:w="3024"/>
            <w:vAlign w:val="center"/>
            <w:tcMar>
              <w:top w:w="100" w:type="dxa"/>
              <w:bottom w:w="100" w:type="dxa"/>
              <w:left w:w="120" w:type="dxa"/>
              <w:right w:w="120" w:type="dxa"/>
            </w:tcMar>
            <w:shd w:fill="F1F5F9"/>
          </w:tcPr>
          <w:p>
            <w:pPr>
              <w:spacing w:before="0" w:after="0"/>
            </w:pPr>
            <w:r>
              <w:rPr>
                <w:rFonts w:ascii="Calibri" w:hAnsi="Calibri"/>
                <w:b/>
                <w:color w:val="0F172A"/>
                <w:sz w:val="17"/>
              </w:rPr>
              <w:t>$4,970 USD / mes</w:t>
            </w:r>
          </w:p>
        </w:tc>
      </w:tr>
      <w:tr>
        <w:tc>
          <w:tcPr>
            <w:tcW w:type="dxa" w:w="3312"/>
            <w:vAlign w:val="center"/>
            <w:tcMar>
              <w:top w:w="100" w:type="dxa"/>
              <w:bottom w:w="100" w:type="dxa"/>
              <w:left w:w="120" w:type="dxa"/>
              <w:right w:w="120" w:type="dxa"/>
            </w:tcMar>
          </w:tcPr>
          <w:p>
            <w:pPr>
              <w:spacing w:before="0" w:after="0"/>
            </w:pPr>
            <w:r>
              <w:rPr>
                <w:rFonts w:ascii="Calibri" w:hAnsi="Calibri"/>
                <w:b/>
                <w:color w:val="0F172A"/>
                <w:sz w:val="17"/>
              </w:rPr>
              <w:t>GANANCIA NETA MENSUAL</w:t>
            </w:r>
          </w:p>
        </w:tc>
        <w:tc>
          <w:tcPr>
            <w:tcW w:type="dxa" w:w="2592"/>
            <w:vAlign w:val="center"/>
            <w:tcMar>
              <w:top w:w="100" w:type="dxa"/>
              <w:bottom w:w="100" w:type="dxa"/>
              <w:left w:w="120" w:type="dxa"/>
              <w:right w:w="120" w:type="dxa"/>
            </w:tcMar>
            <w:shd w:fill="F1F5F9"/>
          </w:tcPr>
          <w:p>
            <w:pPr>
              <w:spacing w:before="0" w:after="0"/>
            </w:pPr>
            <w:r>
              <w:rPr>
                <w:rFonts w:ascii="Calibri" w:hAnsi="Calibri"/>
                <w:b/>
                <w:color w:val="0F172A"/>
                <w:sz w:val="17"/>
              </w:rPr>
              <w:t>+$1,186.50 USD / mes</w:t>
            </w:r>
          </w:p>
        </w:tc>
        <w:tc>
          <w:tcPr>
            <w:tcW w:type="dxa" w:w="3168"/>
            <w:vAlign w:val="center"/>
            <w:tcMar>
              <w:top w:w="100" w:type="dxa"/>
              <w:bottom w:w="100" w:type="dxa"/>
              <w:left w:w="120" w:type="dxa"/>
              <w:right w:w="120" w:type="dxa"/>
            </w:tcMar>
            <w:shd w:fill="E0F2FE"/>
          </w:tcPr>
          <w:p>
            <w:pPr>
              <w:spacing w:before="0" w:after="0"/>
            </w:pPr>
            <w:r>
              <w:rPr>
                <w:rFonts w:ascii="Calibri" w:hAnsi="Calibri"/>
                <w:b/>
                <w:color w:val="0F172A"/>
                <w:sz w:val="17"/>
              </w:rPr>
              <w:t>+$1,902.00 USD / mes</w:t>
            </w:r>
          </w:p>
        </w:tc>
        <w:tc>
          <w:tcPr>
            <w:tcW w:type="dxa" w:w="3024"/>
            <w:vAlign w:val="center"/>
            <w:tcMar>
              <w:top w:w="100" w:type="dxa"/>
              <w:bottom w:w="100" w:type="dxa"/>
              <w:left w:w="120" w:type="dxa"/>
              <w:right w:w="120" w:type="dxa"/>
            </w:tcMar>
            <w:shd w:fill="F1F5F9"/>
          </w:tcPr>
          <w:p>
            <w:pPr>
              <w:spacing w:before="0" w:after="0"/>
            </w:pPr>
            <w:r>
              <w:rPr>
                <w:rFonts w:ascii="Calibri" w:hAnsi="Calibri"/>
                <w:b/>
                <w:color w:val="0F172A"/>
                <w:sz w:val="17"/>
              </w:rPr>
              <w:t>+$3,104.00 USD / mes</w:t>
            </w:r>
          </w:p>
        </w:tc>
      </w:tr>
      <w:tr>
        <w:tc>
          <w:tcPr>
            <w:tcW w:type="dxa" w:w="3312"/>
            <w:vAlign w:val="center"/>
            <w:tcMar>
              <w:top w:w="100" w:type="dxa"/>
              <w:bottom w:w="100" w:type="dxa"/>
              <w:left w:w="120" w:type="dxa"/>
              <w:right w:w="120" w:type="dxa"/>
            </w:tcMar>
          </w:tcPr>
          <w:p>
            <w:pPr>
              <w:spacing w:before="0" w:after="0"/>
            </w:pPr>
            <w:r>
              <w:rPr>
                <w:rFonts w:ascii="Calibri" w:hAnsi="Calibri"/>
                <w:b/>
                <w:color w:val="0F172A"/>
                <w:sz w:val="17"/>
              </w:rPr>
              <w:t>Margen Bruto Real</w:t>
            </w:r>
          </w:p>
        </w:tc>
        <w:tc>
          <w:tcPr>
            <w:tcW w:type="dxa" w:w="2592"/>
            <w:vAlign w:val="center"/>
            <w:tcMar>
              <w:top w:w="100" w:type="dxa"/>
              <w:bottom w:w="100" w:type="dxa"/>
              <w:left w:w="120" w:type="dxa"/>
              <w:right w:w="120" w:type="dxa"/>
            </w:tcMar>
            <w:shd w:fill="F1F5F9"/>
          </w:tcPr>
          <w:p>
            <w:pPr>
              <w:spacing w:before="0" w:after="0"/>
            </w:pPr>
            <w:r>
              <w:rPr>
                <w:rFonts w:ascii="Calibri" w:hAnsi="Calibri"/>
                <w:b/>
                <w:color w:val="0F172A"/>
                <w:sz w:val="17"/>
              </w:rPr>
              <w:t>66.3%</w:t>
            </w:r>
          </w:p>
        </w:tc>
        <w:tc>
          <w:tcPr>
            <w:tcW w:type="dxa" w:w="3168"/>
            <w:vAlign w:val="center"/>
            <w:tcMar>
              <w:top w:w="100" w:type="dxa"/>
              <w:bottom w:w="100" w:type="dxa"/>
              <w:left w:w="120" w:type="dxa"/>
              <w:right w:w="120" w:type="dxa"/>
            </w:tcMar>
            <w:shd w:fill="E0F2FE"/>
          </w:tcPr>
          <w:p>
            <w:pPr>
              <w:spacing w:before="0" w:after="0"/>
            </w:pPr>
            <w:r>
              <w:rPr>
                <w:rFonts w:ascii="Calibri" w:hAnsi="Calibri"/>
                <w:b/>
                <w:color w:val="0F172A"/>
                <w:sz w:val="17"/>
              </w:rPr>
              <w:t>66.3%</w:t>
            </w:r>
          </w:p>
        </w:tc>
        <w:tc>
          <w:tcPr>
            <w:tcW w:type="dxa" w:w="3024"/>
            <w:vAlign w:val="center"/>
            <w:tcMar>
              <w:top w:w="100" w:type="dxa"/>
              <w:bottom w:w="100" w:type="dxa"/>
              <w:left w:w="120" w:type="dxa"/>
              <w:right w:w="120" w:type="dxa"/>
            </w:tcMar>
            <w:shd w:fill="F1F5F9"/>
          </w:tcPr>
          <w:p>
            <w:pPr>
              <w:spacing w:before="0" w:after="0"/>
            </w:pPr>
            <w:r>
              <w:rPr>
                <w:rFonts w:ascii="Calibri" w:hAnsi="Calibri"/>
                <w:b/>
                <w:color w:val="0F172A"/>
                <w:sz w:val="17"/>
              </w:rPr>
              <w:t>62.5%</w:t>
            </w:r>
          </w:p>
        </w:tc>
      </w:tr>
      <w:tr>
        <w:tc>
          <w:tcPr>
            <w:tcW w:type="dxa" w:w="3312"/>
            <w:vAlign w:val="center"/>
            <w:tcMar>
              <w:top w:w="100" w:type="dxa"/>
              <w:bottom w:w="100" w:type="dxa"/>
              <w:left w:w="120" w:type="dxa"/>
              <w:right w:w="120" w:type="dxa"/>
            </w:tcMar>
          </w:tcPr>
          <w:p>
            <w:pPr>
              <w:spacing w:before="0" w:after="0"/>
            </w:pPr>
            <w:r>
              <w:rPr>
                <w:rFonts w:ascii="Calibri" w:hAnsi="Calibri"/>
                <w:b/>
                <w:color w:val="334155"/>
                <w:sz w:val="17"/>
              </w:rPr>
              <w:t>Perfil de Cliente Ideal (ICP)</w:t>
            </w:r>
          </w:p>
        </w:tc>
        <w:tc>
          <w:tcPr>
            <w:tcW w:type="dxa" w:w="2592"/>
            <w:vAlign w:val="center"/>
            <w:tcMar>
              <w:top w:w="100" w:type="dxa"/>
              <w:bottom w:w="100" w:type="dxa"/>
              <w:left w:w="120" w:type="dxa"/>
              <w:right w:w="120" w:type="dxa"/>
            </w:tcMar>
          </w:tcPr>
          <w:p>
            <w:pPr>
              <w:spacing w:before="0" w:after="0"/>
            </w:pPr>
            <w:r>
              <w:rPr>
                <w:rFonts w:ascii="Calibri" w:hAnsi="Calibri"/>
                <w:color w:val="1E293B"/>
                <w:sz w:val="17"/>
              </w:rPr>
              <w:t>1-2 vendedores (ticket $3k-$15k)</w:t>
            </w:r>
          </w:p>
        </w:tc>
        <w:tc>
          <w:tcPr>
            <w:tcW w:type="dxa" w:w="3168"/>
            <w:vAlign w:val="center"/>
            <w:tcMar>
              <w:top w:w="100" w:type="dxa"/>
              <w:bottom w:w="100" w:type="dxa"/>
              <w:left w:w="120" w:type="dxa"/>
              <w:right w:w="120" w:type="dxa"/>
            </w:tcMar>
          </w:tcPr>
          <w:p>
            <w:pPr>
              <w:spacing w:before="0" w:after="0"/>
            </w:pPr>
            <w:r>
              <w:rPr>
                <w:rFonts w:ascii="Calibri" w:hAnsi="Calibri"/>
                <w:color w:val="1E293B"/>
                <w:sz w:val="17"/>
              </w:rPr>
              <w:t>3-5 vendedores (ticket $15k-$50k)</w:t>
            </w:r>
          </w:p>
        </w:tc>
        <w:tc>
          <w:tcPr>
            <w:tcW w:type="dxa" w:w="3024"/>
            <w:vAlign w:val="center"/>
            <w:tcMar>
              <w:top w:w="100" w:type="dxa"/>
              <w:bottom w:w="100" w:type="dxa"/>
              <w:left w:w="120" w:type="dxa"/>
              <w:right w:w="120" w:type="dxa"/>
            </w:tcMar>
          </w:tcPr>
          <w:p>
            <w:pPr>
              <w:spacing w:before="0" w:after="0"/>
            </w:pPr>
            <w:r>
              <w:rPr>
                <w:rFonts w:ascii="Calibri" w:hAnsi="Calibri"/>
                <w:color w:val="1E293B"/>
                <w:sz w:val="17"/>
              </w:rPr>
              <w:t>6+ closers / corporativo</w:t>
            </w:r>
          </w:p>
        </w:tc>
      </w:tr>
    </w:tbl>
    <w:p>
      <w:r>
        <w:br w:type="page"/>
      </w:r>
    </w:p>
    <w:p>
      <w:pPr>
        <w:pStyle w:val="Heading1"/>
        <w:spacing w:before="200" w:after="160"/>
      </w:pPr>
      <w:r>
        <w:rPr>
          <w:rFonts w:ascii="Arial" w:hAnsi="Arial"/>
          <w:b/>
          <w:color w:val="0F172A"/>
          <w:sz w:val="26"/>
        </w:rPr>
        <w:t>3. Fichas Técnicas y Amenidades por Paquete</w:t>
      </w:r>
    </w:p>
    <w:p>
      <w:pPr>
        <w:spacing w:before="160" w:after="40"/>
      </w:pPr>
      <w:r>
        <w:rPr>
          <w:b/>
          <w:color w:val="0F172A"/>
          <w:sz w:val="22"/>
        </w:rPr>
        <w:t>PAQUETE 1: MOTOR BASE — $1,790 USD / mes (Setup: $670 USD)</w:t>
      </w:r>
    </w:p>
    <w:p>
      <w:pPr>
        <w:pStyle w:val="ListBullet"/>
        <w:spacing w:before="20" w:after="40"/>
      </w:pPr>
      <w:r>
        <w:t>Enfoque: Empresas B2B con 1 a 2 vendedores o donde el dueño atiende las llamadas de cierre.</w:t>
      </w:r>
    </w:p>
    <w:p>
      <w:pPr>
        <w:pStyle w:val="ListBullet"/>
        <w:spacing w:before="20" w:after="40"/>
      </w:pPr>
      <w:r>
        <w:t>Capacidad de Envío: 125,000 correos mensuales (~30,000 decisores contactados en secuencia de 4 pasos).</w:t>
      </w:r>
    </w:p>
    <w:p>
      <w:pPr>
        <w:pStyle w:val="ListBullet"/>
        <w:spacing w:before="20" w:after="40"/>
      </w:pPr>
      <w:r>
        <w:t>Resultado: 20 a 40 citas estimadas / 15 citas mínimas garantizadas por contrato.</w:t>
      </w:r>
    </w:p>
    <w:p>
      <w:pPr>
        <w:pStyle w:val="ListBullet"/>
        <w:spacing w:before="20" w:after="40"/>
      </w:pPr>
      <w:r>
        <w:t>Infraestructura: 35 dominios dedicados en IONOS + 140 buzones en Inframail (Plan 300).</w:t>
      </w:r>
    </w:p>
    <w:p>
      <w:pPr>
        <w:pStyle w:val="ListBullet"/>
        <w:spacing w:before="20" w:after="40"/>
      </w:pPr>
      <w:r>
        <w:t>Amenidades: Configuración completa de protocolos DNS (SPF, DKIM, DMARC), redacción de secuencias comerciales, depuración con NeverBounce (40% merma filtrada), portal CRM de citas en Notion/Airtable y reporte mensual.</w:t>
      </w:r>
    </w:p>
    <w:p>
      <w:pPr>
        <w:spacing w:before="200" w:after="40"/>
      </w:pPr>
      <w:r>
        <w:rPr>
          <w:b/>
          <w:color w:val="00B8EA"/>
          <w:sz w:val="22"/>
        </w:rPr>
        <w:t>PAQUETE 2: ACELERADOR GROWTH (ESTRELLA) — $2,870 USD / mes (Setup: $890 USD)</w:t>
      </w:r>
    </w:p>
    <w:p>
      <w:pPr>
        <w:pStyle w:val="ListBullet"/>
        <w:spacing w:before="20" w:after="40"/>
      </w:pPr>
      <w:r>
        <w:t>Enfoque: Empresas medianas con equipo comercial de 3 a 5 vendedores activos (ticket $15k-$50k USD).</w:t>
      </w:r>
    </w:p>
    <w:p>
      <w:pPr>
        <w:pStyle w:val="ListBullet"/>
        <w:spacing w:before="20" w:after="40"/>
      </w:pPr>
      <w:r>
        <w:t>Capacidad de Envío: 250,000 correos mensuales (~60,000 decisores contactados).</w:t>
      </w:r>
    </w:p>
    <w:p>
      <w:pPr>
        <w:pStyle w:val="ListBullet"/>
        <w:spacing w:before="20" w:after="40"/>
      </w:pPr>
      <w:r>
        <w:t>Resultado: 50 a 80 citas estimadas / 30 citas mínimas garantizadas por contrato.</w:t>
      </w:r>
    </w:p>
    <w:p>
      <w:pPr>
        <w:pStyle w:val="ListBullet"/>
        <w:spacing w:before="20" w:after="40"/>
      </w:pPr>
      <w:r>
        <w:t>Infraestructura: 70 dominios dedicados en IONOS + 280 buzones en Inframail (Plan 300).</w:t>
      </w:r>
    </w:p>
    <w:p>
      <w:pPr>
        <w:pStyle w:val="ListBullet"/>
        <w:spacing w:before="20" w:after="40"/>
      </w:pPr>
      <w:r>
        <w:t>Amenidades: Todo lo del Motor Base + A/B Testing quincenal de ángulos de dolor, filtro estricto de pre-calificación con presupuesto y necesidad, ficha de investigación previa del prospecto antes de cada llamada de Zoom, y reunión quincenal de optimización comercial.</w:t>
      </w:r>
    </w:p>
    <w:p>
      <w:pPr>
        <w:spacing w:before="200" w:after="40"/>
      </w:pPr>
      <w:r>
        <w:rPr>
          <w:b/>
          <w:color w:val="0F172A"/>
          <w:sz w:val="22"/>
        </w:rPr>
        <w:t>PAQUETE 3: DOMINACIÓN ENTERPRISE — $4,970 USD / mes (Setup: $1,460 USD)</w:t>
      </w:r>
    </w:p>
    <w:p>
      <w:pPr>
        <w:pStyle w:val="ListBullet"/>
        <w:spacing w:before="20" w:after="40"/>
      </w:pPr>
      <w:r>
        <w:t>Enfoque: Corporativos y empresas consolidadas con 6 o más vendedores dedicados exclusivamente a cerrar.</w:t>
      </w:r>
    </w:p>
    <w:p>
      <w:pPr>
        <w:pStyle w:val="ListBullet"/>
        <w:spacing w:before="20" w:after="40"/>
      </w:pPr>
      <w:r>
        <w:t>Capacidad de Envío: 500,000 correos mensuales (~125,000 decisores contactados).</w:t>
      </w:r>
    </w:p>
    <w:p>
      <w:pPr>
        <w:pStyle w:val="ListBullet"/>
        <w:spacing w:before="20" w:after="40"/>
      </w:pPr>
      <w:r>
        <w:t>Resultado: +100 citas estimadas / 60 citas mínimas garantizadas por contrato.</w:t>
      </w:r>
    </w:p>
    <w:p>
      <w:pPr>
        <w:pStyle w:val="ListBullet"/>
        <w:spacing w:before="20" w:after="40"/>
      </w:pPr>
      <w:r>
        <w:t>Infraestructura: 140 dominios dedicados en IONOS + 560 buzones en Inframail (2x Plan 300).</w:t>
      </w:r>
    </w:p>
    <w:p>
      <w:pPr>
        <w:pStyle w:val="ListBullet"/>
        <w:spacing w:before="20" w:after="40"/>
      </w:pPr>
      <w:r>
        <w:t>Amenidades Premium: Todo lo de Growth + Integración CRM directa (HubSpot, Salesforce, Pipedrive), enriquecimiento multi-canal con teléfonos y WhatsApp verificados de decisores, prospección ABM con 30 videos Loom personalizados para cuentas ballena, triage de respuestas prioritario (&lt;15 min) y dashboard ejecutivo en vivo.</w:t>
      </w:r>
    </w:p>
    <w:p>
      <w:pPr>
        <w:pStyle w:val="Heading1"/>
        <w:spacing w:before="280" w:after="120"/>
      </w:pPr>
      <w:r>
        <w:rPr>
          <w:rFonts w:ascii="Arial" w:hAnsi="Arial"/>
          <w:b/>
          <w:color w:val="0F172A"/>
          <w:sz w:val="26"/>
        </w:rPr>
        <w:t>4. Desglose Detallado de Costos de Infraestructura</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vAlign w:val="center"/>
            <w:tcMar>
              <w:top w:w="80" w:type="dxa"/>
              <w:bottom w:w="80" w:type="dxa"/>
              <w:left w:w="100" w:type="dxa"/>
              <w:right w:w="100" w:type="dxa"/>
            </w:tcMar>
            <w:shd w:fill="0F172A"/>
          </w:tcPr>
          <w:p>
            <w:pPr>
              <w:spacing w:before="0" w:after="0"/>
            </w:pPr>
            <w:r>
              <w:rPr>
                <w:rFonts w:ascii="Calibri" w:hAnsi="Calibri"/>
                <w:b/>
                <w:color w:val="FFFFFF"/>
                <w:sz w:val="17"/>
              </w:rPr>
              <w:t>Concepto de Costo</w:t>
            </w:r>
          </w:p>
        </w:tc>
        <w:tc>
          <w:tcPr>
            <w:tcW w:type="dxa" w:w="3168"/>
            <w:vAlign w:val="center"/>
            <w:tcMar>
              <w:top w:w="80" w:type="dxa"/>
              <w:bottom w:w="80" w:type="dxa"/>
              <w:left w:w="100" w:type="dxa"/>
              <w:right w:w="100" w:type="dxa"/>
            </w:tcMar>
            <w:shd w:fill="0F172A"/>
          </w:tcPr>
          <w:p>
            <w:pPr>
              <w:spacing w:before="0" w:after="0"/>
            </w:pPr>
            <w:r>
              <w:rPr>
                <w:rFonts w:ascii="Calibri" w:hAnsi="Calibri"/>
                <w:b/>
                <w:color w:val="FFFFFF"/>
                <w:sz w:val="17"/>
              </w:rPr>
              <w:t>Proveedor / Detalle</w:t>
            </w:r>
          </w:p>
        </w:tc>
        <w:tc>
          <w:tcPr>
            <w:tcW w:type="dxa" w:w="1584"/>
            <w:vAlign w:val="center"/>
            <w:tcMar>
              <w:top w:w="80" w:type="dxa"/>
              <w:bottom w:w="80" w:type="dxa"/>
              <w:left w:w="100" w:type="dxa"/>
              <w:right w:w="100" w:type="dxa"/>
            </w:tcMar>
            <w:shd w:fill="0F172A"/>
          </w:tcPr>
          <w:p>
            <w:pPr>
              <w:spacing w:before="0" w:after="0"/>
            </w:pPr>
            <w:r>
              <w:rPr>
                <w:rFonts w:ascii="Calibri" w:hAnsi="Calibri"/>
                <w:b/>
                <w:color w:val="FFFFFF"/>
                <w:sz w:val="17"/>
              </w:rPr>
              <w:t>P1: Base</w:t>
            </w:r>
          </w:p>
        </w:tc>
        <w:tc>
          <w:tcPr>
            <w:tcW w:type="dxa" w:w="1728"/>
            <w:vAlign w:val="center"/>
            <w:tcMar>
              <w:top w:w="80" w:type="dxa"/>
              <w:bottom w:w="80" w:type="dxa"/>
              <w:left w:w="100" w:type="dxa"/>
              <w:right w:w="100" w:type="dxa"/>
            </w:tcMar>
            <w:shd w:fill="0F172A"/>
          </w:tcPr>
          <w:p>
            <w:pPr>
              <w:spacing w:before="0" w:after="0"/>
            </w:pPr>
            <w:r>
              <w:rPr>
                <w:rFonts w:ascii="Calibri" w:hAnsi="Calibri"/>
                <w:b/>
                <w:color w:val="FFFFFF"/>
                <w:sz w:val="17"/>
              </w:rPr>
              <w:t>P2: Growth</w:t>
            </w:r>
          </w:p>
        </w:tc>
        <w:tc>
          <w:tcPr>
            <w:tcW w:type="dxa" w:w="1728"/>
            <w:vAlign w:val="center"/>
            <w:tcMar>
              <w:top w:w="80" w:type="dxa"/>
              <w:bottom w:w="80" w:type="dxa"/>
              <w:left w:w="100" w:type="dxa"/>
              <w:right w:w="100" w:type="dxa"/>
            </w:tcMar>
            <w:shd w:fill="0F172A"/>
          </w:tcPr>
          <w:p>
            <w:pPr>
              <w:spacing w:before="0" w:after="0"/>
            </w:pPr>
            <w:r>
              <w:rPr>
                <w:rFonts w:ascii="Calibri" w:hAnsi="Calibri"/>
                <w:b/>
                <w:color w:val="FFFFFF"/>
                <w:sz w:val="17"/>
              </w:rPr>
              <w:t>P3: Enterprise</w:t>
            </w:r>
          </w:p>
        </w:tc>
      </w:tr>
      <w:tr>
        <w:tc>
          <w:tcPr>
            <w:tcW w:type="dxa" w:w="2592"/>
            <w:vAlign w:val="center"/>
            <w:tcMar>
              <w:top w:w="80" w:type="dxa"/>
              <w:bottom w:w="80" w:type="dxa"/>
              <w:left w:w="100" w:type="dxa"/>
              <w:right w:w="100" w:type="dxa"/>
            </w:tcMar>
            <w:shd w:fill="E2E8F0"/>
          </w:tcPr>
          <w:p>
            <w:pPr>
              <w:spacing w:before="0" w:after="0"/>
            </w:pPr>
            <w:r>
              <w:rPr>
                <w:rFonts w:ascii="Calibri" w:hAnsi="Calibri"/>
                <w:b/>
                <w:color w:val="0F172A"/>
                <w:sz w:val="17"/>
              </w:rPr>
              <w:t>[A] SETUP (MES 0 — WARMUP 21 DÍAS)</w:t>
            </w:r>
          </w:p>
        </w:tc>
        <w:tc>
          <w:tcPr>
            <w:tcW w:type="dxa" w:w="3168"/>
            <w:vAlign w:val="center"/>
            <w:tcMar>
              <w:top w:w="80" w:type="dxa"/>
              <w:bottom w:w="80" w:type="dxa"/>
              <w:left w:w="100" w:type="dxa"/>
              <w:right w:w="100" w:type="dxa"/>
            </w:tcMar>
            <w:shd w:fill="E2E8F0"/>
          </w:tcPr>
          <w:p>
            <w:pPr>
              <w:spacing w:before="0" w:after="0"/>
            </w:pPr>
            <w:r>
              <w:rPr>
                <w:rFonts w:ascii="Calibri" w:hAnsi="Calibri"/>
                <w:b/>
                <w:color w:val="0F172A"/>
                <w:sz w:val="17"/>
              </w:rPr>
            </w:r>
          </w:p>
        </w:tc>
        <w:tc>
          <w:tcPr>
            <w:tcW w:type="dxa" w:w="1584"/>
            <w:vAlign w:val="center"/>
            <w:tcMar>
              <w:top w:w="80" w:type="dxa"/>
              <w:bottom w:w="80" w:type="dxa"/>
              <w:left w:w="100" w:type="dxa"/>
              <w:right w:w="100" w:type="dxa"/>
            </w:tcMar>
            <w:shd w:fill="E2E8F0"/>
          </w:tcPr>
          <w:p>
            <w:pPr>
              <w:spacing w:before="0" w:after="0"/>
            </w:pPr>
            <w:r>
              <w:rPr>
                <w:rFonts w:ascii="Calibri" w:hAnsi="Calibri"/>
                <w:b/>
                <w:color w:val="0F172A"/>
                <w:sz w:val="17"/>
              </w:rPr>
            </w:r>
          </w:p>
        </w:tc>
        <w:tc>
          <w:tcPr>
            <w:tcW w:type="dxa" w:w="1728"/>
            <w:vAlign w:val="center"/>
            <w:tcMar>
              <w:top w:w="80" w:type="dxa"/>
              <w:bottom w:w="80" w:type="dxa"/>
              <w:left w:w="100" w:type="dxa"/>
              <w:right w:w="100" w:type="dxa"/>
            </w:tcMar>
            <w:shd w:fill="E2E8F0"/>
          </w:tcPr>
          <w:p>
            <w:pPr>
              <w:spacing w:before="0" w:after="0"/>
            </w:pPr>
            <w:r>
              <w:rPr>
                <w:rFonts w:ascii="Calibri" w:hAnsi="Calibri"/>
                <w:b/>
                <w:color w:val="0F172A"/>
                <w:sz w:val="17"/>
              </w:rPr>
            </w:r>
          </w:p>
        </w:tc>
        <w:tc>
          <w:tcPr>
            <w:tcW w:type="dxa" w:w="1728"/>
            <w:vAlign w:val="center"/>
            <w:tcMar>
              <w:top w:w="80" w:type="dxa"/>
              <w:bottom w:w="80" w:type="dxa"/>
              <w:left w:w="100" w:type="dxa"/>
              <w:right w:w="100" w:type="dxa"/>
            </w:tcMar>
            <w:shd w:fill="E2E8F0"/>
          </w:tcPr>
          <w:p>
            <w:pPr>
              <w:spacing w:before="0" w:after="0"/>
            </w:pPr>
            <w:r>
              <w:rPr>
                <w:rFonts w:ascii="Calibri" w:hAnsi="Calibri"/>
                <w:b/>
                <w:color w:val="0F172A"/>
                <w:sz w:val="17"/>
              </w:rPr>
            </w:r>
          </w:p>
        </w:tc>
      </w:tr>
      <w:tr>
        <w:tc>
          <w:tcPr>
            <w:tcW w:type="dxa" w:w="2592"/>
            <w:vAlign w:val="center"/>
            <w:tcMar>
              <w:top w:w="80" w:type="dxa"/>
              <w:bottom w:w="80" w:type="dxa"/>
              <w:left w:w="100" w:type="dxa"/>
              <w:right w:w="100" w:type="dxa"/>
            </w:tcMar>
          </w:tcPr>
          <w:p>
            <w:pPr>
              <w:spacing w:before="0" w:after="0"/>
            </w:pPr>
            <w:r>
              <w:rPr>
                <w:rFonts w:ascii="Calibri" w:hAnsi="Calibri"/>
                <w:color w:val="1E293B"/>
                <w:sz w:val="17"/>
              </w:rPr>
              <w:t>Warmup Ilimitado</w:t>
            </w:r>
          </w:p>
        </w:tc>
        <w:tc>
          <w:tcPr>
            <w:tcW w:type="dxa" w:w="3168"/>
            <w:vAlign w:val="center"/>
            <w:tcMar>
              <w:top w:w="80" w:type="dxa"/>
              <w:bottom w:w="80" w:type="dxa"/>
              <w:left w:w="100" w:type="dxa"/>
              <w:right w:w="100" w:type="dxa"/>
            </w:tcMar>
          </w:tcPr>
          <w:p>
            <w:pPr>
              <w:spacing w:before="0" w:after="0"/>
            </w:pPr>
            <w:r>
              <w:rPr>
                <w:rFonts w:ascii="Calibri" w:hAnsi="Calibri"/>
                <w:color w:val="1E293B"/>
                <w:sz w:val="17"/>
              </w:rPr>
              <w:t>Instantly Growth ($47 fijo cualquier volumen)</w:t>
            </w:r>
          </w:p>
        </w:tc>
        <w:tc>
          <w:tcPr>
            <w:tcW w:type="dxa" w:w="1584"/>
            <w:vAlign w:val="center"/>
            <w:tcMar>
              <w:top w:w="80" w:type="dxa"/>
              <w:bottom w:w="80" w:type="dxa"/>
              <w:left w:w="100" w:type="dxa"/>
              <w:right w:w="100" w:type="dxa"/>
            </w:tcMar>
          </w:tcPr>
          <w:p>
            <w:pPr>
              <w:spacing w:before="0" w:after="0"/>
            </w:pPr>
            <w:r>
              <w:rPr>
                <w:rFonts w:ascii="Calibri" w:hAnsi="Calibri"/>
                <w:color w:val="1E293B"/>
                <w:sz w:val="17"/>
              </w:rPr>
              <w:t>$47.00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$47.00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$47.00</w:t>
            </w:r>
          </w:p>
        </w:tc>
      </w:tr>
      <w:tr>
        <w:tc>
          <w:tcPr>
            <w:tcW w:type="dxa" w:w="2592"/>
            <w:vAlign w:val="center"/>
            <w:tcMar>
              <w:top w:w="80" w:type="dxa"/>
              <w:bottom w:w="80" w:type="dxa"/>
              <w:left w:w="100" w:type="dxa"/>
              <w:right w:w="100" w:type="dxa"/>
            </w:tcMar>
            <w:shd w:fill="F8FAFC"/>
          </w:tcPr>
          <w:p>
            <w:pPr>
              <w:spacing w:before="0" w:after="0"/>
            </w:pPr>
            <w:r>
              <w:rPr>
                <w:rFonts w:ascii="Calibri" w:hAnsi="Calibri"/>
                <w:color w:val="1E293B"/>
                <w:sz w:val="17"/>
              </w:rPr>
              <w:t>Dominios Dedicados</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7"/>
              </w:rPr>
              <w:t>IONOS ($1.50/mes por dominio)</w:t>
            </w:r>
          </w:p>
        </w:tc>
        <w:tc>
          <w:tcPr>
            <w:tcW w:type="dxa" w:w="1584"/>
            <w:vAlign w:val="center"/>
            <w:tcMar>
              <w:top w:w="80" w:type="dxa"/>
              <w:bottom w:w="80" w:type="dxa"/>
              <w:left w:w="100" w:type="dxa"/>
              <w:right w:w="100" w:type="dxa"/>
            </w:tcMar>
            <w:shd w:fill="F8FAFC"/>
          </w:tcPr>
          <w:p>
            <w:pPr>
              <w:spacing w:before="0" w:after="0"/>
            </w:pPr>
            <w:r>
              <w:rPr>
                <w:rFonts w:ascii="Calibri" w:hAnsi="Calibri"/>
                <w:color w:val="1E293B"/>
                <w:sz w:val="17"/>
              </w:rPr>
              <w:t>$52.50 (35 dom)</w:t>
            </w:r>
          </w:p>
        </w:tc>
        <w:tc>
          <w:tcPr>
            <w:tcW w:type="dxa" w:w="1728"/>
            <w:vAlign w:val="center"/>
            <w:tcMar>
              <w:top w:w="80" w:type="dxa"/>
              <w:bottom w:w="80" w:type="dxa"/>
              <w:left w:w="100" w:type="dxa"/>
              <w:right w:w="100" w:type="dxa"/>
            </w:tcMar>
            <w:shd w:fill="F8FAFC"/>
          </w:tcPr>
          <w:p>
            <w:pPr>
              <w:spacing w:before="0" w:after="0"/>
            </w:pPr>
            <w:r>
              <w:rPr>
                <w:rFonts w:ascii="Calibri" w:hAnsi="Calibri"/>
                <w:color w:val="1E293B"/>
                <w:sz w:val="17"/>
              </w:rPr>
              <w:t>$105.00 (70 dom)</w:t>
            </w:r>
          </w:p>
        </w:tc>
        <w:tc>
          <w:tcPr>
            <w:tcW w:type="dxa" w:w="1728"/>
            <w:vAlign w:val="center"/>
            <w:tcMar>
              <w:top w:w="80" w:type="dxa"/>
              <w:bottom w:w="80" w:type="dxa"/>
              <w:left w:w="100" w:type="dxa"/>
              <w:right w:w="100" w:type="dxa"/>
            </w:tcMar>
            <w:shd w:fill="F8FAFC"/>
          </w:tcPr>
          <w:p>
            <w:pPr>
              <w:spacing w:before="0" w:after="0"/>
            </w:pPr>
            <w:r>
              <w:rPr>
                <w:rFonts w:ascii="Calibri" w:hAnsi="Calibri"/>
                <w:color w:val="1E293B"/>
                <w:sz w:val="17"/>
              </w:rPr>
              <w:t>$210.00 (140 dom)</w:t>
            </w:r>
          </w:p>
        </w:tc>
      </w:tr>
      <w:tr>
        <w:tc>
          <w:tcPr>
            <w:tcW w:type="dxa" w:w="2592"/>
            <w:vAlign w:val="center"/>
            <w:tcMar>
              <w:top w:w="80" w:type="dxa"/>
              <w:bottom w:w="80" w:type="dxa"/>
              <w:left w:w="100" w:type="dxa"/>
              <w:right w:w="100" w:type="dxa"/>
            </w:tcMar>
          </w:tcPr>
          <w:p>
            <w:pPr>
              <w:spacing w:before="0" w:after="0"/>
            </w:pPr>
            <w:r>
              <w:rPr>
                <w:rFonts w:ascii="Calibri" w:hAnsi="Calibri"/>
                <w:color w:val="1E293B"/>
                <w:sz w:val="17"/>
              </w:rPr>
              <w:t>Buzones SMTP/IMAP</w:t>
            </w:r>
          </w:p>
        </w:tc>
        <w:tc>
          <w:tcPr>
            <w:tcW w:type="dxa" w:w="3168"/>
            <w:vAlign w:val="center"/>
            <w:tcMar>
              <w:top w:w="80" w:type="dxa"/>
              <w:bottom w:w="80" w:type="dxa"/>
              <w:left w:w="100" w:type="dxa"/>
              <w:right w:w="100" w:type="dxa"/>
            </w:tcMar>
          </w:tcPr>
          <w:p>
            <w:pPr>
              <w:spacing w:before="0" w:after="0"/>
            </w:pPr>
            <w:r>
              <w:rPr>
                <w:rFonts w:ascii="Calibri" w:hAnsi="Calibri"/>
                <w:color w:val="1E293B"/>
                <w:sz w:val="17"/>
              </w:rPr>
              <w:t>Inframail.io (Tarifa plana $199 por 300 buzones)</w:t>
            </w:r>
          </w:p>
        </w:tc>
        <w:tc>
          <w:tcPr>
            <w:tcW w:type="dxa" w:w="1584"/>
            <w:vAlign w:val="center"/>
            <w:tcMar>
              <w:top w:w="80" w:type="dxa"/>
              <w:bottom w:w="80" w:type="dxa"/>
              <w:left w:w="100" w:type="dxa"/>
              <w:right w:w="100" w:type="dxa"/>
            </w:tcMar>
          </w:tcPr>
          <w:p>
            <w:pPr>
              <w:spacing w:before="0" w:after="0"/>
            </w:pPr>
            <w:r>
              <w:rPr>
                <w:rFonts w:ascii="Calibri" w:hAnsi="Calibri"/>
                <w:color w:val="1E293B"/>
                <w:sz w:val="17"/>
              </w:rPr>
              <w:t>$199.00 (Plan 300)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$199.00 (Plan 300)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$398.00 (2x Plan 300)</w:t>
            </w:r>
          </w:p>
        </w:tc>
      </w:tr>
      <w:tr>
        <w:tc>
          <w:tcPr>
            <w:tcW w:type="dxa" w:w="2592"/>
            <w:vAlign w:val="center"/>
            <w:tcMar>
              <w:top w:w="80" w:type="dxa"/>
              <w:bottom w:w="80" w:type="dxa"/>
              <w:left w:w="100" w:type="dxa"/>
              <w:right w:w="100" w:type="dxa"/>
            </w:tcMar>
            <w:shd w:fill="F8FAFC"/>
          </w:tcPr>
          <w:p>
            <w:pPr>
              <w:spacing w:before="0" w:after="0"/>
            </w:pPr>
            <w:r>
              <w:rPr>
                <w:rFonts w:ascii="Calibri" w:hAnsi="Calibri"/>
                <w:color w:val="1E293B"/>
                <w:sz w:val="17"/>
              </w:rPr>
              <w:t>Configuración CRM &amp; Webhooks</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7"/>
              </w:rPr>
              <w:t>Portal de cliente + automatización respuestas</w:t>
            </w:r>
          </w:p>
        </w:tc>
        <w:tc>
          <w:tcPr>
            <w:tcW w:type="dxa" w:w="1584"/>
            <w:vAlign w:val="center"/>
            <w:tcMar>
              <w:top w:w="80" w:type="dxa"/>
              <w:bottom w:w="80" w:type="dxa"/>
              <w:left w:w="100" w:type="dxa"/>
              <w:right w:w="100" w:type="dxa"/>
            </w:tcMar>
            <w:shd w:fill="F8FAFC"/>
          </w:tcPr>
          <w:p>
            <w:pPr>
              <w:spacing w:before="0" w:after="0"/>
            </w:pPr>
            <w:r>
              <w:rPr>
                <w:rFonts w:ascii="Calibri" w:hAnsi="Calibri"/>
                <w:color w:val="1E293B"/>
                <w:sz w:val="17"/>
              </w:rPr>
              <w:t>$50.00</w:t>
            </w:r>
          </w:p>
        </w:tc>
        <w:tc>
          <w:tcPr>
            <w:tcW w:type="dxa" w:w="1728"/>
            <w:vAlign w:val="center"/>
            <w:tcMar>
              <w:top w:w="80" w:type="dxa"/>
              <w:bottom w:w="80" w:type="dxa"/>
              <w:left w:w="100" w:type="dxa"/>
              <w:right w:w="100" w:type="dxa"/>
            </w:tcMar>
            <w:shd w:fill="F8FAFC"/>
          </w:tcPr>
          <w:p>
            <w:pPr>
              <w:spacing w:before="0" w:after="0"/>
            </w:pPr>
            <w:r>
              <w:rPr>
                <w:rFonts w:ascii="Calibri" w:hAnsi="Calibri"/>
                <w:color w:val="1E293B"/>
                <w:sz w:val="17"/>
              </w:rPr>
              <w:t>$75.00</w:t>
            </w:r>
          </w:p>
        </w:tc>
        <w:tc>
          <w:tcPr>
            <w:tcW w:type="dxa" w:w="1728"/>
            <w:vAlign w:val="center"/>
            <w:tcMar>
              <w:top w:w="80" w:type="dxa"/>
              <w:bottom w:w="80" w:type="dxa"/>
              <w:left w:w="100" w:type="dxa"/>
              <w:right w:w="100" w:type="dxa"/>
            </w:tcMar>
            <w:shd w:fill="F8FAFC"/>
          </w:tcPr>
          <w:p>
            <w:pPr>
              <w:spacing w:before="0" w:after="0"/>
            </w:pPr>
            <w:r>
              <w:rPr>
                <w:rFonts w:ascii="Calibri" w:hAnsi="Calibri"/>
                <w:color w:val="1E293B"/>
                <w:sz w:val="17"/>
              </w:rPr>
              <w:t>$100.00</w:t>
            </w:r>
          </w:p>
        </w:tc>
      </w:tr>
      <w:tr>
        <w:tc>
          <w:tcPr>
            <w:tcW w:type="dxa" w:w="2592"/>
            <w:vAlign w:val="center"/>
            <w:tcMar>
              <w:top w:w="80" w:type="dxa"/>
              <w:bottom w:w="80" w:type="dxa"/>
              <w:left w:w="100" w:type="dxa"/>
              <w:right w:w="100" w:type="dxa"/>
            </w:tcMar>
            <w:shd w:fill="F1F5F9"/>
          </w:tcPr>
          <w:p>
            <w:pPr>
              <w:spacing w:before="0" w:after="0"/>
            </w:pPr>
            <w:r>
              <w:rPr>
                <w:rFonts w:ascii="Calibri" w:hAnsi="Calibri"/>
                <w:b/>
                <w:color w:val="0F172A"/>
                <w:sz w:val="17"/>
              </w:rPr>
              <w:t>TOTAL COSTO REAL SETUP</w:t>
            </w:r>
          </w:p>
        </w:tc>
        <w:tc>
          <w:tcPr>
            <w:tcW w:type="dxa" w:w="3168"/>
            <w:vAlign w:val="center"/>
            <w:tcMar>
              <w:top w:w="80" w:type="dxa"/>
              <w:bottom w:w="80" w:type="dxa"/>
              <w:left w:w="100" w:type="dxa"/>
              <w:right w:w="100" w:type="dxa"/>
            </w:tcMar>
            <w:shd w:fill="F1F5F9"/>
          </w:tcPr>
          <w:p>
            <w:pPr>
              <w:spacing w:before="0" w:after="0"/>
            </w:pPr>
            <w:r>
              <w:rPr>
                <w:rFonts w:ascii="Calibri" w:hAnsi="Calibri"/>
                <w:b/>
                <w:color w:val="0F172A"/>
                <w:sz w:val="17"/>
              </w:rPr>
              <w:t>Tu inversión real (Autofinanciada 100%)</w:t>
            </w:r>
          </w:p>
        </w:tc>
        <w:tc>
          <w:tcPr>
            <w:tcW w:type="dxa" w:w="1584"/>
            <w:vAlign w:val="center"/>
            <w:tcMar>
              <w:top w:w="80" w:type="dxa"/>
              <w:bottom w:w="80" w:type="dxa"/>
              <w:left w:w="100" w:type="dxa"/>
              <w:right w:w="100" w:type="dxa"/>
            </w:tcMar>
            <w:shd w:fill="F1F5F9"/>
          </w:tcPr>
          <w:p>
            <w:pPr>
              <w:spacing w:before="0" w:after="0"/>
            </w:pPr>
            <w:r>
              <w:rPr>
                <w:rFonts w:ascii="Calibri" w:hAnsi="Calibri"/>
                <w:b/>
                <w:color w:val="0F172A"/>
                <w:sz w:val="17"/>
              </w:rPr>
              <w:t>$348.50 USD</w:t>
            </w:r>
          </w:p>
        </w:tc>
        <w:tc>
          <w:tcPr>
            <w:tcW w:type="dxa" w:w="1728"/>
            <w:vAlign w:val="center"/>
            <w:tcMar>
              <w:top w:w="80" w:type="dxa"/>
              <w:bottom w:w="80" w:type="dxa"/>
              <w:left w:w="100" w:type="dxa"/>
              <w:right w:w="100" w:type="dxa"/>
            </w:tcMar>
            <w:shd w:fill="F1F5F9"/>
          </w:tcPr>
          <w:p>
            <w:pPr>
              <w:spacing w:before="0" w:after="0"/>
            </w:pPr>
            <w:r>
              <w:rPr>
                <w:rFonts w:ascii="Calibri" w:hAnsi="Calibri"/>
                <w:b/>
                <w:color w:val="0F172A"/>
                <w:sz w:val="17"/>
              </w:rPr>
              <w:t>$426.00 USD</w:t>
            </w:r>
          </w:p>
        </w:tc>
        <w:tc>
          <w:tcPr>
            <w:tcW w:type="dxa" w:w="1728"/>
            <w:vAlign w:val="center"/>
            <w:tcMar>
              <w:top w:w="80" w:type="dxa"/>
              <w:bottom w:w="80" w:type="dxa"/>
              <w:left w:w="100" w:type="dxa"/>
              <w:right w:w="100" w:type="dxa"/>
            </w:tcMar>
            <w:shd w:fill="F1F5F9"/>
          </w:tcPr>
          <w:p>
            <w:pPr>
              <w:spacing w:before="0" w:after="0"/>
            </w:pPr>
            <w:r>
              <w:rPr>
                <w:rFonts w:ascii="Calibri" w:hAnsi="Calibri"/>
                <w:b/>
                <w:color w:val="0F172A"/>
                <w:sz w:val="17"/>
              </w:rPr>
              <w:t>$755.00 USD</w:t>
            </w:r>
          </w:p>
        </w:tc>
      </w:tr>
      <w:tr>
        <w:tc>
          <w:tcPr>
            <w:tcW w:type="dxa" w:w="2592"/>
            <w:vAlign w:val="center"/>
            <w:tcMar>
              <w:top w:w="80" w:type="dxa"/>
              <w:bottom w:w="80" w:type="dxa"/>
              <w:left w:w="100" w:type="dxa"/>
              <w:right w:w="100" w:type="dxa"/>
            </w:tcMar>
            <w:shd w:fill="E2E8F0"/>
          </w:tcPr>
          <w:p>
            <w:pPr>
              <w:spacing w:before="0" w:after="0"/>
            </w:pPr>
            <w:r>
              <w:rPr>
                <w:rFonts w:ascii="Calibri" w:hAnsi="Calibri"/>
                <w:b/>
                <w:color w:val="0F172A"/>
                <w:sz w:val="17"/>
              </w:rPr>
              <w:t>[B] MENSUALIDAD (COGS MES 2+ CON 40% MERMA)</w:t>
            </w:r>
          </w:p>
        </w:tc>
        <w:tc>
          <w:tcPr>
            <w:tcW w:type="dxa" w:w="3168"/>
            <w:vAlign w:val="center"/>
            <w:tcMar>
              <w:top w:w="80" w:type="dxa"/>
              <w:bottom w:w="80" w:type="dxa"/>
              <w:left w:w="100" w:type="dxa"/>
              <w:right w:w="100" w:type="dxa"/>
            </w:tcMar>
            <w:shd w:fill="E2E8F0"/>
          </w:tcPr>
          <w:p>
            <w:pPr>
              <w:spacing w:before="0" w:after="0"/>
            </w:pPr>
            <w:r>
              <w:rPr>
                <w:rFonts w:ascii="Calibri" w:hAnsi="Calibri"/>
                <w:b/>
                <w:color w:val="0F172A"/>
                <w:sz w:val="17"/>
              </w:rPr>
            </w:r>
          </w:p>
        </w:tc>
        <w:tc>
          <w:tcPr>
            <w:tcW w:type="dxa" w:w="1584"/>
            <w:vAlign w:val="center"/>
            <w:tcMar>
              <w:top w:w="80" w:type="dxa"/>
              <w:bottom w:w="80" w:type="dxa"/>
              <w:left w:w="100" w:type="dxa"/>
              <w:right w:w="100" w:type="dxa"/>
            </w:tcMar>
            <w:shd w:fill="E2E8F0"/>
          </w:tcPr>
          <w:p>
            <w:pPr>
              <w:spacing w:before="0" w:after="0"/>
            </w:pPr>
            <w:r>
              <w:rPr>
                <w:rFonts w:ascii="Calibri" w:hAnsi="Calibri"/>
                <w:b/>
                <w:color w:val="0F172A"/>
                <w:sz w:val="17"/>
              </w:rPr>
            </w:r>
          </w:p>
        </w:tc>
        <w:tc>
          <w:tcPr>
            <w:tcW w:type="dxa" w:w="1728"/>
            <w:vAlign w:val="center"/>
            <w:tcMar>
              <w:top w:w="80" w:type="dxa"/>
              <w:bottom w:w="80" w:type="dxa"/>
              <w:left w:w="100" w:type="dxa"/>
              <w:right w:w="100" w:type="dxa"/>
            </w:tcMar>
            <w:shd w:fill="E2E8F0"/>
          </w:tcPr>
          <w:p>
            <w:pPr>
              <w:spacing w:before="0" w:after="0"/>
            </w:pPr>
            <w:r>
              <w:rPr>
                <w:rFonts w:ascii="Calibri" w:hAnsi="Calibri"/>
                <w:b/>
                <w:color w:val="0F172A"/>
                <w:sz w:val="17"/>
              </w:rPr>
            </w:r>
          </w:p>
        </w:tc>
        <w:tc>
          <w:tcPr>
            <w:tcW w:type="dxa" w:w="1728"/>
            <w:vAlign w:val="center"/>
            <w:tcMar>
              <w:top w:w="80" w:type="dxa"/>
              <w:bottom w:w="80" w:type="dxa"/>
              <w:left w:w="100" w:type="dxa"/>
              <w:right w:w="100" w:type="dxa"/>
            </w:tcMar>
            <w:shd w:fill="E2E8F0"/>
          </w:tcPr>
          <w:p>
            <w:pPr>
              <w:spacing w:before="0" w:after="0"/>
            </w:pPr>
            <w:r>
              <w:rPr>
                <w:rFonts w:ascii="Calibri" w:hAnsi="Calibri"/>
                <w:b/>
                <w:color w:val="0F172A"/>
                <w:sz w:val="17"/>
              </w:rPr>
            </w:r>
          </w:p>
        </w:tc>
      </w:tr>
      <w:tr>
        <w:tc>
          <w:tcPr>
            <w:tcW w:type="dxa" w:w="2592"/>
            <w:vAlign w:val="center"/>
            <w:tcMar>
              <w:top w:w="80" w:type="dxa"/>
              <w:bottom w:w="80" w:type="dxa"/>
              <w:left w:w="100" w:type="dxa"/>
              <w:right w:w="100" w:type="dxa"/>
            </w:tcMar>
          </w:tcPr>
          <w:p>
            <w:pPr>
              <w:spacing w:before="0" w:after="0"/>
            </w:pPr>
            <w:r>
              <w:rPr>
                <w:rFonts w:ascii="Calibri" w:hAnsi="Calibri"/>
                <w:color w:val="1E293B"/>
                <w:sz w:val="17"/>
              </w:rPr>
              <w:t>Software de Envíos</w:t>
            </w:r>
          </w:p>
        </w:tc>
        <w:tc>
          <w:tcPr>
            <w:tcW w:type="dxa" w:w="3168"/>
            <w:vAlign w:val="center"/>
            <w:tcMar>
              <w:top w:w="80" w:type="dxa"/>
              <w:bottom w:w="80" w:type="dxa"/>
              <w:left w:w="100" w:type="dxa"/>
              <w:right w:w="100" w:type="dxa"/>
            </w:tcMar>
          </w:tcPr>
          <w:p>
            <w:pPr>
              <w:spacing w:before="0" w:after="0"/>
            </w:pPr>
            <w:r>
              <w:rPr>
                <w:rFonts w:ascii="Calibri" w:hAnsi="Calibri"/>
                <w:color w:val="1E293B"/>
                <w:sz w:val="17"/>
              </w:rPr>
              <w:t>Instantly (Hypergrowth $97 / 2x $194 / Lightspeed $358)</w:t>
            </w:r>
          </w:p>
        </w:tc>
        <w:tc>
          <w:tcPr>
            <w:tcW w:type="dxa" w:w="1584"/>
            <w:vAlign w:val="center"/>
            <w:tcMar>
              <w:top w:w="80" w:type="dxa"/>
              <w:bottom w:w="80" w:type="dxa"/>
              <w:left w:w="100" w:type="dxa"/>
              <w:right w:w="100" w:type="dxa"/>
            </w:tcMar>
          </w:tcPr>
          <w:p>
            <w:pPr>
              <w:spacing w:before="0" w:after="0"/>
            </w:pPr>
            <w:r>
              <w:rPr>
                <w:rFonts w:ascii="Calibri" w:hAnsi="Calibri"/>
                <w:color w:val="1E293B"/>
                <w:sz w:val="17"/>
              </w:rPr>
              <w:t>$97.00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$194.00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$358.00</w:t>
            </w:r>
          </w:p>
        </w:tc>
      </w:tr>
      <w:tr>
        <w:tc>
          <w:tcPr>
            <w:tcW w:type="dxa" w:w="2592"/>
            <w:vAlign w:val="center"/>
            <w:tcMar>
              <w:top w:w="80" w:type="dxa"/>
              <w:bottom w:w="80" w:type="dxa"/>
              <w:left w:w="100" w:type="dxa"/>
              <w:right w:w="100" w:type="dxa"/>
            </w:tcMar>
            <w:shd w:fill="F8FAFC"/>
          </w:tcPr>
          <w:p>
            <w:pPr>
              <w:spacing w:before="0" w:after="0"/>
            </w:pPr>
            <w:r>
              <w:rPr>
                <w:rFonts w:ascii="Calibri" w:hAnsi="Calibri"/>
                <w:color w:val="1E293B"/>
                <w:sz w:val="17"/>
              </w:rPr>
              <w:t>Dominios Dedicados</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7"/>
              </w:rPr>
              <w:t>IONOS (Mantenimiento mensual recurrente)</w:t>
            </w:r>
          </w:p>
        </w:tc>
        <w:tc>
          <w:tcPr>
            <w:tcW w:type="dxa" w:w="1584"/>
            <w:vAlign w:val="center"/>
            <w:tcMar>
              <w:top w:w="80" w:type="dxa"/>
              <w:bottom w:w="80" w:type="dxa"/>
              <w:left w:w="100" w:type="dxa"/>
              <w:right w:w="100" w:type="dxa"/>
            </w:tcMar>
            <w:shd w:fill="F8FAFC"/>
          </w:tcPr>
          <w:p>
            <w:pPr>
              <w:spacing w:before="0" w:after="0"/>
            </w:pPr>
            <w:r>
              <w:rPr>
                <w:rFonts w:ascii="Calibri" w:hAnsi="Calibri"/>
                <w:color w:val="1E293B"/>
                <w:sz w:val="17"/>
              </w:rPr>
              <w:t>$52.50</w:t>
            </w:r>
          </w:p>
        </w:tc>
        <w:tc>
          <w:tcPr>
            <w:tcW w:type="dxa" w:w="1728"/>
            <w:vAlign w:val="center"/>
            <w:tcMar>
              <w:top w:w="80" w:type="dxa"/>
              <w:bottom w:w="80" w:type="dxa"/>
              <w:left w:w="100" w:type="dxa"/>
              <w:right w:w="100" w:type="dxa"/>
            </w:tcMar>
            <w:shd w:fill="F8FAFC"/>
          </w:tcPr>
          <w:p>
            <w:pPr>
              <w:spacing w:before="0" w:after="0"/>
            </w:pPr>
            <w:r>
              <w:rPr>
                <w:rFonts w:ascii="Calibri" w:hAnsi="Calibri"/>
                <w:color w:val="1E293B"/>
                <w:sz w:val="17"/>
              </w:rPr>
              <w:t>$105.00</w:t>
            </w:r>
          </w:p>
        </w:tc>
        <w:tc>
          <w:tcPr>
            <w:tcW w:type="dxa" w:w="1728"/>
            <w:vAlign w:val="center"/>
            <w:tcMar>
              <w:top w:w="80" w:type="dxa"/>
              <w:bottom w:w="80" w:type="dxa"/>
              <w:left w:w="100" w:type="dxa"/>
              <w:right w:w="100" w:type="dxa"/>
            </w:tcMar>
            <w:shd w:fill="F8FAFC"/>
          </w:tcPr>
          <w:p>
            <w:pPr>
              <w:spacing w:before="0" w:after="0"/>
            </w:pPr>
            <w:r>
              <w:rPr>
                <w:rFonts w:ascii="Calibri" w:hAnsi="Calibri"/>
                <w:color w:val="1E293B"/>
                <w:sz w:val="17"/>
              </w:rPr>
              <w:t>$210.00</w:t>
            </w:r>
          </w:p>
        </w:tc>
      </w:tr>
      <w:tr>
        <w:tc>
          <w:tcPr>
            <w:tcW w:type="dxa" w:w="2592"/>
            <w:vAlign w:val="center"/>
            <w:tcMar>
              <w:top w:w="80" w:type="dxa"/>
              <w:bottom w:w="80" w:type="dxa"/>
              <w:left w:w="100" w:type="dxa"/>
              <w:right w:w="100" w:type="dxa"/>
            </w:tcMar>
          </w:tcPr>
          <w:p>
            <w:pPr>
              <w:spacing w:before="0" w:after="0"/>
            </w:pPr>
            <w:r>
              <w:rPr>
                <w:rFonts w:ascii="Calibri" w:hAnsi="Calibri"/>
                <w:color w:val="1E293B"/>
                <w:sz w:val="17"/>
              </w:rPr>
              <w:t>Buzones SMTP/IMAP</w:t>
            </w:r>
          </w:p>
        </w:tc>
        <w:tc>
          <w:tcPr>
            <w:tcW w:type="dxa" w:w="3168"/>
            <w:vAlign w:val="center"/>
            <w:tcMar>
              <w:top w:w="80" w:type="dxa"/>
              <w:bottom w:w="80" w:type="dxa"/>
              <w:left w:w="100" w:type="dxa"/>
              <w:right w:w="100" w:type="dxa"/>
            </w:tcMar>
          </w:tcPr>
          <w:p>
            <w:pPr>
              <w:spacing w:before="0" w:after="0"/>
            </w:pPr>
            <w:r>
              <w:rPr>
                <w:rFonts w:ascii="Calibri" w:hAnsi="Calibri"/>
                <w:color w:val="1E293B"/>
                <w:sz w:val="17"/>
              </w:rPr>
              <w:t>Inframail.io (Infraestructura dedicada)</w:t>
            </w:r>
          </w:p>
        </w:tc>
        <w:tc>
          <w:tcPr>
            <w:tcW w:type="dxa" w:w="1584"/>
            <w:vAlign w:val="center"/>
            <w:tcMar>
              <w:top w:w="80" w:type="dxa"/>
              <w:bottom w:w="80" w:type="dxa"/>
              <w:left w:w="100" w:type="dxa"/>
              <w:right w:w="100" w:type="dxa"/>
            </w:tcMar>
          </w:tcPr>
          <w:p>
            <w:pPr>
              <w:spacing w:before="0" w:after="0"/>
            </w:pPr>
            <w:r>
              <w:rPr>
                <w:rFonts w:ascii="Calibri" w:hAnsi="Calibri"/>
                <w:color w:val="1E293B"/>
                <w:sz w:val="17"/>
              </w:rPr>
              <w:t>$199.00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$199.00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$398.00</w:t>
            </w:r>
          </w:p>
        </w:tc>
      </w:tr>
      <w:tr>
        <w:tc>
          <w:tcPr>
            <w:tcW w:type="dxa" w:w="2592"/>
            <w:vAlign w:val="center"/>
            <w:tcMar>
              <w:top w:w="80" w:type="dxa"/>
              <w:bottom w:w="80" w:type="dxa"/>
              <w:left w:w="100" w:type="dxa"/>
              <w:right w:w="100" w:type="dxa"/>
            </w:tcMar>
            <w:shd w:fill="F8FAFC"/>
          </w:tcPr>
          <w:p>
            <w:pPr>
              <w:spacing w:before="0" w:after="0"/>
            </w:pPr>
            <w:r>
              <w:rPr>
                <w:rFonts w:ascii="Calibri" w:hAnsi="Calibri"/>
                <w:color w:val="1E293B"/>
                <w:sz w:val="17"/>
              </w:rPr>
              <w:t>Scraping + Verificación</w:t>
            </w:r>
          </w:p>
        </w:tc>
        <w:tc>
          <w:tcPr>
            <w:tcW w:type="dxa" w:w="3168"/>
            <w:vAlign w:val="center"/>
            <w:tcMar>
              <w:top w:w="80" w:type="dxa"/>
              <w:bottom w:w="80" w:type="dxa"/>
              <w:left w:w="100" w:type="dxa"/>
              <w:right w:w="100" w:type="dxa"/>
            </w:tcMar>
            <w:shd w:fill="F8FAFC"/>
          </w:tcPr>
          <w:p>
            <w:pPr>
              <w:spacing w:before="0" w:after="0"/>
            </w:pPr>
            <w:r>
              <w:rPr>
                <w:rFonts w:ascii="Calibri" w:hAnsi="Calibri"/>
                <w:color w:val="1E293B"/>
                <w:sz w:val="17"/>
              </w:rPr>
              <w:t>Apify/Apollo + NeverBounce (40% merma depurada)</w:t>
            </w:r>
          </w:p>
        </w:tc>
        <w:tc>
          <w:tcPr>
            <w:tcW w:type="dxa" w:w="1584"/>
            <w:vAlign w:val="center"/>
            <w:tcMar>
              <w:top w:w="80" w:type="dxa"/>
              <w:bottom w:w="80" w:type="dxa"/>
              <w:left w:w="100" w:type="dxa"/>
              <w:right w:w="100" w:type="dxa"/>
            </w:tcMar>
            <w:shd w:fill="F8FAFC"/>
          </w:tcPr>
          <w:p>
            <w:pPr>
              <w:spacing w:before="0" w:after="0"/>
            </w:pPr>
            <w:r>
              <w:rPr>
                <w:rFonts w:ascii="Calibri" w:hAnsi="Calibri"/>
                <w:color w:val="1E293B"/>
                <w:sz w:val="17"/>
              </w:rPr>
              <w:t>$180.00 (50k brutos)</w:t>
            </w:r>
          </w:p>
        </w:tc>
        <w:tc>
          <w:tcPr>
            <w:tcW w:type="dxa" w:w="1728"/>
            <w:vAlign w:val="center"/>
            <w:tcMar>
              <w:top w:w="80" w:type="dxa"/>
              <w:bottom w:w="80" w:type="dxa"/>
              <w:left w:w="100" w:type="dxa"/>
              <w:right w:w="100" w:type="dxa"/>
            </w:tcMar>
            <w:shd w:fill="F8FAFC"/>
          </w:tcPr>
          <w:p>
            <w:pPr>
              <w:spacing w:before="0" w:after="0"/>
            </w:pPr>
            <w:r>
              <w:rPr>
                <w:rFonts w:ascii="Calibri" w:hAnsi="Calibri"/>
                <w:color w:val="1E293B"/>
                <w:sz w:val="17"/>
              </w:rPr>
              <w:t>$350.00 (100k brutos)</w:t>
            </w:r>
          </w:p>
        </w:tc>
        <w:tc>
          <w:tcPr>
            <w:tcW w:type="dxa" w:w="1728"/>
            <w:vAlign w:val="center"/>
            <w:tcMar>
              <w:top w:w="80" w:type="dxa"/>
              <w:bottom w:w="80" w:type="dxa"/>
              <w:left w:w="100" w:type="dxa"/>
              <w:right w:w="100" w:type="dxa"/>
            </w:tcMar>
            <w:shd w:fill="F8FAFC"/>
          </w:tcPr>
          <w:p>
            <w:pPr>
              <w:spacing w:before="0" w:after="0"/>
            </w:pPr>
            <w:r>
              <w:rPr>
                <w:rFonts w:ascii="Calibri" w:hAnsi="Calibri"/>
                <w:color w:val="1E293B"/>
                <w:sz w:val="17"/>
              </w:rPr>
              <w:t>$680.00 (200k brutos)</w:t>
            </w:r>
          </w:p>
        </w:tc>
      </w:tr>
      <w:tr>
        <w:tc>
          <w:tcPr>
            <w:tcW w:type="dxa" w:w="2592"/>
            <w:vAlign w:val="center"/>
            <w:tcMar>
              <w:top w:w="80" w:type="dxa"/>
              <w:bottom w:w="80" w:type="dxa"/>
              <w:left w:w="100" w:type="dxa"/>
              <w:right w:w="100" w:type="dxa"/>
            </w:tcMar>
          </w:tcPr>
          <w:p>
            <w:pPr>
              <w:spacing w:before="0" w:after="0"/>
            </w:pPr>
            <w:r>
              <w:rPr>
                <w:rFonts w:ascii="Calibri" w:hAnsi="Calibri"/>
                <w:color w:val="1E293B"/>
                <w:sz w:val="17"/>
              </w:rPr>
              <w:t>Tokens IA + Triage + CRM</w:t>
            </w:r>
          </w:p>
        </w:tc>
        <w:tc>
          <w:tcPr>
            <w:tcW w:type="dxa" w:w="3168"/>
            <w:vAlign w:val="center"/>
            <w:tcMar>
              <w:top w:w="80" w:type="dxa"/>
              <w:bottom w:w="80" w:type="dxa"/>
              <w:left w:w="100" w:type="dxa"/>
              <w:right w:w="100" w:type="dxa"/>
            </w:tcMar>
          </w:tcPr>
          <w:p>
            <w:pPr>
              <w:spacing w:before="0" w:after="0"/>
            </w:pPr>
            <w:r>
              <w:rPr>
                <w:rFonts w:ascii="Calibri" w:hAnsi="Calibri"/>
                <w:color w:val="1E293B"/>
                <w:sz w:val="17"/>
              </w:rPr>
              <w:t>OpenRouter + Softr / Integraciones</w:t>
            </w:r>
          </w:p>
        </w:tc>
        <w:tc>
          <w:tcPr>
            <w:tcW w:type="dxa" w:w="1584"/>
            <w:vAlign w:val="center"/>
            <w:tcMar>
              <w:top w:w="80" w:type="dxa"/>
              <w:bottom w:w="80" w:type="dxa"/>
              <w:left w:w="100" w:type="dxa"/>
              <w:right w:w="100" w:type="dxa"/>
            </w:tcMar>
          </w:tcPr>
          <w:p>
            <w:pPr>
              <w:spacing w:before="0" w:after="0"/>
            </w:pPr>
            <w:r>
              <w:rPr>
                <w:rFonts w:ascii="Calibri" w:hAnsi="Calibri"/>
                <w:color w:val="1E293B"/>
                <w:sz w:val="17"/>
              </w:rPr>
              <w:t>$75.00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$120.00</w:t>
            </w:r>
          </w:p>
        </w:tc>
        <w:tc>
          <w:tcPr>
            <w:tcW w:type="dxa" w:w="1728"/>
            <w:vAlign w:val="center"/>
            <w:tcMar>
              <w:top w:w="80" w:type="dxa"/>
              <w:bottom w:w="80" w:type="dxa"/>
              <w:left w:w="100" w:type="dxa"/>
              <w:right w:w="100" w:type="dxa"/>
            </w:tcMar>
          </w:tcPr>
          <w:p>
            <w:pPr>
              <w:spacing w:before="0" w:after="0"/>
            </w:pPr>
            <w:r>
              <w:rPr>
                <w:rFonts w:ascii="Calibri" w:hAnsi="Calibri"/>
                <w:color w:val="1E293B"/>
                <w:sz w:val="17"/>
              </w:rPr>
              <w:t>$220.00</w:t>
            </w:r>
          </w:p>
        </w:tc>
      </w:tr>
      <w:tr>
        <w:tc>
          <w:tcPr>
            <w:tcW w:type="dxa" w:w="2592"/>
            <w:vAlign w:val="center"/>
            <w:tcMar>
              <w:top w:w="80" w:type="dxa"/>
              <w:bottom w:w="80" w:type="dxa"/>
              <w:left w:w="100" w:type="dxa"/>
              <w:right w:w="100" w:type="dxa"/>
            </w:tcMar>
            <w:shd w:fill="F1F5F9"/>
          </w:tcPr>
          <w:p>
            <w:pPr>
              <w:spacing w:before="0" w:after="0"/>
            </w:pPr>
            <w:r>
              <w:rPr>
                <w:rFonts w:ascii="Calibri" w:hAnsi="Calibri"/>
                <w:b/>
                <w:color w:val="0F172A"/>
                <w:sz w:val="17"/>
              </w:rPr>
              <w:t>TOTAL COSTO MENSUAL COGS</w:t>
            </w:r>
          </w:p>
        </w:tc>
        <w:tc>
          <w:tcPr>
            <w:tcW w:type="dxa" w:w="3168"/>
            <w:vAlign w:val="center"/>
            <w:tcMar>
              <w:top w:w="80" w:type="dxa"/>
              <w:bottom w:w="80" w:type="dxa"/>
              <w:left w:w="100" w:type="dxa"/>
              <w:right w:w="100" w:type="dxa"/>
            </w:tcMar>
            <w:shd w:fill="F1F5F9"/>
          </w:tcPr>
          <w:p>
            <w:pPr>
              <w:spacing w:before="0" w:after="0"/>
            </w:pPr>
            <w:r>
              <w:rPr>
                <w:rFonts w:ascii="Calibri" w:hAnsi="Calibri"/>
                <w:b/>
                <w:color w:val="0F172A"/>
                <w:sz w:val="17"/>
              </w:rPr>
              <w:t>Costo de producción mensual recurrente</w:t>
            </w:r>
          </w:p>
        </w:tc>
        <w:tc>
          <w:tcPr>
            <w:tcW w:type="dxa" w:w="1584"/>
            <w:vAlign w:val="center"/>
            <w:tcMar>
              <w:top w:w="80" w:type="dxa"/>
              <w:bottom w:w="80" w:type="dxa"/>
              <w:left w:w="100" w:type="dxa"/>
              <w:right w:w="100" w:type="dxa"/>
            </w:tcMar>
            <w:shd w:fill="F1F5F9"/>
          </w:tcPr>
          <w:p>
            <w:pPr>
              <w:spacing w:before="0" w:after="0"/>
            </w:pPr>
            <w:r>
              <w:rPr>
                <w:rFonts w:ascii="Calibri" w:hAnsi="Calibri"/>
                <w:b/>
                <w:color w:val="0F172A"/>
                <w:sz w:val="17"/>
              </w:rPr>
              <w:t>$603.50 USD/mes</w:t>
            </w:r>
          </w:p>
        </w:tc>
        <w:tc>
          <w:tcPr>
            <w:tcW w:type="dxa" w:w="1728"/>
            <w:vAlign w:val="center"/>
            <w:tcMar>
              <w:top w:w="80" w:type="dxa"/>
              <w:bottom w:w="80" w:type="dxa"/>
              <w:left w:w="100" w:type="dxa"/>
              <w:right w:w="100" w:type="dxa"/>
            </w:tcMar>
            <w:shd w:fill="F1F5F9"/>
          </w:tcPr>
          <w:p>
            <w:pPr>
              <w:spacing w:before="0" w:after="0"/>
            </w:pPr>
            <w:r>
              <w:rPr>
                <w:rFonts w:ascii="Calibri" w:hAnsi="Calibri"/>
                <w:b/>
                <w:color w:val="0F172A"/>
                <w:sz w:val="17"/>
              </w:rPr>
              <w:t>$968.00 USD/mes</w:t>
            </w:r>
          </w:p>
        </w:tc>
        <w:tc>
          <w:tcPr>
            <w:tcW w:type="dxa" w:w="1728"/>
            <w:vAlign w:val="center"/>
            <w:tcMar>
              <w:top w:w="80" w:type="dxa"/>
              <w:bottom w:w="80" w:type="dxa"/>
              <w:left w:w="100" w:type="dxa"/>
              <w:right w:w="100" w:type="dxa"/>
            </w:tcMar>
            <w:shd w:fill="F1F5F9"/>
          </w:tcPr>
          <w:p>
            <w:pPr>
              <w:spacing w:before="0" w:after="0"/>
            </w:pPr>
            <w:r>
              <w:rPr>
                <w:rFonts w:ascii="Calibri" w:hAnsi="Calibri"/>
                <w:b/>
                <w:color w:val="0F172A"/>
                <w:sz w:val="17"/>
              </w:rPr>
              <w:t>$1,866.00 USD/mes</w:t>
            </w:r>
          </w:p>
        </w:tc>
      </w:tr>
    </w:tbl>
    <w:p>
      <w:r>
        <w:br w:type="page"/>
      </w:r>
    </w:p>
    <w:p>
      <w:pPr>
        <w:pStyle w:val="Heading1"/>
        <w:spacing w:before="200" w:after="160"/>
      </w:pPr>
      <w:r>
        <w:rPr>
          <w:rFonts w:ascii="Arial" w:hAnsi="Arial"/>
          <w:b/>
          <w:color w:val="0F172A"/>
          <w:sz w:val="26"/>
        </w:rPr>
        <w:t>5. Blindaje Legal y Cláusulas Contractuales</w:t>
      </w:r>
    </w:p>
    <w:p>
      <w:pPr>
        <w:spacing w:before="80" w:after="80"/>
      </w:pPr>
      <w:r>
        <w:rPr>
          <w:rFonts w:ascii="Arial" w:hAnsi="Arial"/>
          <w:b/>
          <w:color w:val="0F172A"/>
          <w:sz w:val="20"/>
        </w:rPr>
        <w:t xml:space="preserve">1. Setup No Reembolsable: </w:t>
      </w:r>
      <w:r>
        <w:rPr>
          <w:rFonts w:ascii="Calibri" w:hAnsi="Calibri"/>
          <w:color w:val="334155"/>
          <w:sz w:val="19"/>
        </w:rPr>
        <w:t>El cobro del setup se realiza por adelantado antes de registrar dominios o activar servidores. Fondea el 100% de la infraestructura del cliente y genera utilidad inmediata desde el día 1.</w:t>
      </w:r>
    </w:p>
    <w:p>
      <w:pPr>
        <w:spacing w:before="80" w:after="80"/>
      </w:pPr>
      <w:r>
        <w:rPr>
          <w:rFonts w:ascii="Arial" w:hAnsi="Arial"/>
          <w:b/>
          <w:color w:val="0F172A"/>
          <w:sz w:val="20"/>
        </w:rPr>
        <w:t xml:space="preserve">2. Cláusula de Garantía de Reposición (Nunca Reembolso): </w:t>
      </w:r>
      <w:r>
        <w:rPr>
          <w:rFonts w:ascii="Calibri" w:hAnsi="Calibri"/>
          <w:color w:val="334155"/>
          <w:sz w:val="19"/>
        </w:rPr>
        <w:t>Si durante cualquier periodo mensual no se alcanza la cuota mínima garantizada de citas calificadas (15 en P1, 30 en P2, 60 en P3), el cliente no pagará honorarios de servicio (retainer) durante el mes inmediato siguiente, y J&amp;J Ventures operará la infraestructura sin costo de gestión hasta completar las citas faltantes. En ningún caso aplicará devolución en efectivo.</w:t>
      </w:r>
    </w:p>
    <w:p>
      <w:pPr>
        <w:spacing w:before="80" w:after="80"/>
      </w:pPr>
      <w:r>
        <w:rPr>
          <w:rFonts w:ascii="Arial" w:hAnsi="Arial"/>
          <w:b/>
          <w:color w:val="0F172A"/>
          <w:sz w:val="20"/>
        </w:rPr>
        <w:t xml:space="preserve">3. Definición Contractual de Cita Calificada: </w:t>
      </w:r>
      <w:r>
        <w:rPr>
          <w:rFonts w:ascii="Calibri" w:hAnsi="Calibri"/>
          <w:color w:val="334155"/>
          <w:sz w:val="19"/>
        </w:rPr>
        <w:t>Para ser contabilizada como válida, una cita debe cumplir tres criterios indispensables: (1) Cargo con poder de decisión (Dueño, Director General, Director Comercial, Gerente de Compras), (2) Empresa dentro de los criterios ICP previamente acordados, y (3) Asistencia efectiva y puntual a la sesión de videollamada.</w:t>
      </w:r>
    </w:p>
    <w:p>
      <w:pPr>
        <w:spacing w:before="80" w:after="80"/>
      </w:pPr>
      <w:r>
        <w:rPr>
          <w:rFonts w:ascii="Arial" w:hAnsi="Arial"/>
          <w:b/>
          <w:color w:val="0F172A"/>
          <w:sz w:val="20"/>
        </w:rPr>
        <w:t xml:space="preserve">4. Compromiso Mínimo de 3 Meses: </w:t>
      </w:r>
      <w:r>
        <w:rPr>
          <w:rFonts w:ascii="Calibri" w:hAnsi="Calibri"/>
          <w:color w:val="334155"/>
          <w:sz w:val="19"/>
        </w:rPr>
        <w:t>Dado que el ciclo outbound requiere 21 días indispensables de calentamiento técnico progresivo de servidores para blindar la entregabilidad, la contratación se formaliza por un periodo inicial de 3 meses.</w:t>
      </w:r>
    </w:p>
    <w:p>
      <w:pPr>
        <w:spacing w:before="80" w:after="80"/>
      </w:pPr>
      <w:r>
        <w:rPr>
          <w:rFonts w:ascii="Arial" w:hAnsi="Arial"/>
          <w:b/>
          <w:color w:val="0F172A"/>
          <w:sz w:val="20"/>
        </w:rPr>
        <w:t xml:space="preserve">5. Psicología de Precios Aplicada: </w:t>
      </w:r>
      <w:r>
        <w:rPr>
          <w:rFonts w:ascii="Calibri" w:hAnsi="Calibri"/>
          <w:color w:val="334155"/>
          <w:sz w:val="19"/>
        </w:rPr>
        <w:t>Los precios han sido calibrados estratégicamente con terminaciones técnicas ($670 / $890 / $1,460 y $1,790 / $2,870 / $4,970 USD) para situarse justo por debajo de barreras psicológicas ($2,000, $3,000 y $5,000 USD), facilitando la aprobación directa de directores sin requerir autorización de consejo directivo.</w:t>
      </w:r>
    </w:p>
    <w:p>
      <w:pPr>
        <w:spacing w:before="400"/>
        <w:jc w:val="center"/>
      </w:pPr>
      <w:r>
        <w:rPr>
          <w:b/>
          <w:color w:val="64748B"/>
          <w:sz w:val="17"/>
        </w:rPr>
        <w:t>J&amp;J VENTURES · PROSPECCIÓN OUTBOUND B2B · PROV. 16:3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