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9A4E" w14:textId="77777777" w:rsidR="003638AF" w:rsidRDefault="00000000">
      <w:pPr>
        <w:pStyle w:val="NormalWeb"/>
        <w:divId w:val="746850493"/>
        <w:rPr>
          <w:rFonts w:ascii="Verdana" w:hAnsi="Verdana"/>
        </w:rPr>
      </w:pPr>
      <w:r>
        <w:rPr>
          <w:rStyle w:val="Strong"/>
          <w:rFonts w:ascii="Verdana" w:hAnsi="Verdana"/>
        </w:rPr>
        <w:t>Supercharger Support</w:t>
      </w:r>
      <w:r>
        <w:rPr>
          <w:rFonts w:ascii="Verdana" w:hAnsi="Verdana"/>
        </w:rPr>
        <w:t xml:space="preserve"> </w:t>
      </w:r>
    </w:p>
    <w:p w14:paraId="230A639A" w14:textId="77777777" w:rsidR="003638AF" w:rsidRDefault="00000000">
      <w:pPr>
        <w:pStyle w:val="NormalWeb"/>
        <w:divId w:val="746850493"/>
        <w:rPr>
          <w:rFonts w:ascii="Verdana" w:hAnsi="Verdana"/>
        </w:rPr>
      </w:pPr>
      <w:r>
        <w:rPr>
          <w:rFonts w:ascii="Verdana" w:hAnsi="Verdana"/>
        </w:rPr>
        <w:t xml:space="preserve">There are over 35,000 global Superchargers conveniently placed along popular travel routes, located near amenities such as restaurants, shops, restrooms and Wi-Fi hot spots. Each site has multiple Superchargers to get you charged and back on the road quickly. </w:t>
      </w:r>
    </w:p>
    <w:p w14:paraId="609BC670" w14:textId="77777777" w:rsidR="003638AF" w:rsidRDefault="00000000">
      <w:pPr>
        <w:pStyle w:val="NormalWeb"/>
        <w:divId w:val="746850493"/>
        <w:rPr>
          <w:rFonts w:ascii="Verdana" w:hAnsi="Verdana"/>
        </w:rPr>
      </w:pPr>
      <w:bookmarkStart w:id="0" w:name="overview"/>
      <w:bookmarkEnd w:id="0"/>
      <w:r>
        <w:rPr>
          <w:rStyle w:val="Strong"/>
          <w:rFonts w:ascii="Verdana" w:hAnsi="Verdana"/>
        </w:rPr>
        <w:t>Overview</w:t>
      </w:r>
      <w:r>
        <w:rPr>
          <w:rFonts w:ascii="Verdana" w:hAnsi="Verdana"/>
        </w:rPr>
        <w:t xml:space="preserve"> </w:t>
      </w:r>
    </w:p>
    <w:p w14:paraId="53189911" w14:textId="77777777" w:rsidR="003638AF" w:rsidRDefault="00000000">
      <w:pPr>
        <w:pStyle w:val="NormalWeb"/>
        <w:divId w:val="746850493"/>
        <w:rPr>
          <w:rFonts w:ascii="Verdana" w:hAnsi="Verdana"/>
        </w:rPr>
      </w:pPr>
      <w:r>
        <w:rPr>
          <w:rStyle w:val="Strong"/>
          <w:rFonts w:ascii="Verdana" w:hAnsi="Verdana"/>
        </w:rPr>
        <w:t>When should I use a Supercharger?</w:t>
      </w:r>
      <w:r>
        <w:rPr>
          <w:rFonts w:ascii="Verdana" w:hAnsi="Verdana"/>
        </w:rPr>
        <w:t xml:space="preserve"> </w:t>
      </w:r>
    </w:p>
    <w:p w14:paraId="71B50DF8" w14:textId="715550C3" w:rsidR="003638AF" w:rsidRDefault="00000000">
      <w:pPr>
        <w:pStyle w:val="NormalWeb"/>
        <w:divId w:val="746850493"/>
        <w:rPr>
          <w:rFonts w:ascii="Verdana" w:hAnsi="Verdana"/>
        </w:rPr>
      </w:pPr>
      <w:r>
        <w:rPr>
          <w:rFonts w:ascii="Verdana" w:hAnsi="Verdana"/>
        </w:rPr>
        <w:t xml:space="preserve">Superchargers are ideal for </w:t>
      </w:r>
      <w:proofErr w:type="gramStart"/>
      <w:r>
        <w:rPr>
          <w:rFonts w:ascii="Verdana" w:hAnsi="Verdana"/>
        </w:rPr>
        <w:t>long distance</w:t>
      </w:r>
      <w:proofErr w:type="gramEnd"/>
      <w:r>
        <w:rPr>
          <w:rFonts w:ascii="Verdana" w:hAnsi="Verdana"/>
        </w:rPr>
        <w:t xml:space="preserve"> travel and are designed to charge your </w:t>
      </w:r>
      <w:proofErr w:type="spellStart"/>
      <w:r w:rsidR="00DE3411">
        <w:rPr>
          <w:rFonts w:ascii="Verdana" w:hAnsi="Verdana"/>
        </w:rPr>
        <w:t>Tuskla</w:t>
      </w:r>
      <w:proofErr w:type="spellEnd"/>
      <w:r>
        <w:rPr>
          <w:rFonts w:ascii="Verdana" w:hAnsi="Verdana"/>
        </w:rPr>
        <w:t xml:space="preserve"> quickly so you can get back on the road. For daily commutes or local driving needs, there are a variety of home charging options. </w:t>
      </w:r>
    </w:p>
    <w:p w14:paraId="49E5D968" w14:textId="63DEB439" w:rsidR="003638AF" w:rsidRDefault="00000000">
      <w:pPr>
        <w:pStyle w:val="NormalWeb"/>
        <w:divId w:val="746850493"/>
        <w:rPr>
          <w:rFonts w:ascii="Verdana" w:hAnsi="Verdana"/>
        </w:rPr>
      </w:pPr>
      <w:r>
        <w:rPr>
          <w:rStyle w:val="Strong"/>
          <w:rFonts w:ascii="Verdana" w:hAnsi="Verdana"/>
        </w:rPr>
        <w:t xml:space="preserve">How fast can I charge my </w:t>
      </w:r>
      <w:proofErr w:type="spellStart"/>
      <w:r w:rsidR="00DE3411">
        <w:rPr>
          <w:rStyle w:val="Strong"/>
          <w:rFonts w:ascii="Verdana" w:hAnsi="Verdana"/>
        </w:rPr>
        <w:t>Tuskla</w:t>
      </w:r>
      <w:proofErr w:type="spellEnd"/>
      <w:r>
        <w:rPr>
          <w:rStyle w:val="Strong"/>
          <w:rFonts w:ascii="Verdana" w:hAnsi="Verdana"/>
        </w:rPr>
        <w:t xml:space="preserve"> with a Supercharger?</w:t>
      </w:r>
      <w:r>
        <w:rPr>
          <w:rFonts w:ascii="Verdana" w:hAnsi="Verdana"/>
        </w:rPr>
        <w:t xml:space="preserve"> </w:t>
      </w:r>
    </w:p>
    <w:p w14:paraId="11D23D6E" w14:textId="77777777" w:rsidR="003638AF" w:rsidRDefault="00000000">
      <w:pPr>
        <w:pStyle w:val="NormalWeb"/>
        <w:divId w:val="746850493"/>
        <w:rPr>
          <w:rFonts w:ascii="Verdana" w:hAnsi="Verdana"/>
        </w:rPr>
      </w:pPr>
      <w:r>
        <w:rPr>
          <w:rFonts w:ascii="Verdana" w:hAnsi="Verdana"/>
        </w:rPr>
        <w:t xml:space="preserve">Charging speeds vary slightly by model. </w:t>
      </w:r>
    </w:p>
    <w:tbl>
      <w:tblPr>
        <w:tblW w:w="0" w:type="auto"/>
        <w:tblCellSpacing w:w="15" w:type="dxa"/>
        <w:tblCellMar>
          <w:left w:w="0" w:type="dxa"/>
          <w:right w:w="0" w:type="dxa"/>
        </w:tblCellMar>
        <w:tblLook w:val="04A0" w:firstRow="1" w:lastRow="0" w:firstColumn="1" w:lastColumn="0" w:noHBand="0" w:noVBand="1"/>
      </w:tblPr>
      <w:tblGrid>
        <w:gridCol w:w="1024"/>
        <w:gridCol w:w="3697"/>
      </w:tblGrid>
      <w:tr w:rsidR="003638AF" w14:paraId="3B53B73E" w14:textId="77777777">
        <w:trPr>
          <w:divId w:val="746850493"/>
          <w:tblHeader/>
          <w:tblCellSpacing w:w="15" w:type="dxa"/>
        </w:trPr>
        <w:tc>
          <w:tcPr>
            <w:tcW w:w="0" w:type="auto"/>
            <w:vAlign w:val="center"/>
            <w:hideMark/>
          </w:tcPr>
          <w:p w14:paraId="498B65D9" w14:textId="77777777" w:rsidR="003638AF" w:rsidRDefault="00000000">
            <w:pPr>
              <w:pStyle w:val="NormalWeb"/>
              <w:rPr>
                <w:rFonts w:ascii="Verdana" w:hAnsi="Verdana"/>
              </w:rPr>
            </w:pPr>
            <w:r>
              <w:rPr>
                <w:rStyle w:val="Strong"/>
                <w:rFonts w:ascii="Verdana" w:hAnsi="Verdana"/>
              </w:rPr>
              <w:t>Vehicle</w:t>
            </w:r>
            <w:r>
              <w:rPr>
                <w:rFonts w:ascii="Verdana" w:hAnsi="Verdana"/>
              </w:rPr>
              <w:t xml:space="preserve"> </w:t>
            </w:r>
          </w:p>
        </w:tc>
        <w:tc>
          <w:tcPr>
            <w:tcW w:w="0" w:type="auto"/>
            <w:vAlign w:val="center"/>
            <w:hideMark/>
          </w:tcPr>
          <w:p w14:paraId="03CF1B37" w14:textId="77777777" w:rsidR="003638AF" w:rsidRDefault="00000000">
            <w:pPr>
              <w:pStyle w:val="NormalWeb"/>
              <w:rPr>
                <w:rFonts w:ascii="Verdana" w:hAnsi="Verdana"/>
              </w:rPr>
            </w:pPr>
            <w:r>
              <w:rPr>
                <w:rStyle w:val="Strong"/>
                <w:rFonts w:ascii="Verdana" w:hAnsi="Verdana"/>
              </w:rPr>
              <w:t>Supercharge Speed</w:t>
            </w:r>
            <w:r>
              <w:rPr>
                <w:rFonts w:ascii="Verdana" w:hAnsi="Verdana"/>
              </w:rPr>
              <w:t xml:space="preserve"> </w:t>
            </w:r>
          </w:p>
        </w:tc>
      </w:tr>
      <w:tr w:rsidR="003638AF" w14:paraId="73EFDCF1" w14:textId="77777777">
        <w:trPr>
          <w:divId w:val="746850493"/>
          <w:tblCellSpacing w:w="15" w:type="dxa"/>
        </w:trPr>
        <w:tc>
          <w:tcPr>
            <w:tcW w:w="0" w:type="auto"/>
            <w:hideMark/>
          </w:tcPr>
          <w:p w14:paraId="15A98A16" w14:textId="77777777" w:rsidR="003638AF" w:rsidRDefault="00000000">
            <w:pPr>
              <w:pStyle w:val="NormalWeb"/>
              <w:rPr>
                <w:rFonts w:ascii="Verdana" w:hAnsi="Verdana"/>
              </w:rPr>
            </w:pPr>
            <w:r>
              <w:rPr>
                <w:rFonts w:ascii="Verdana" w:hAnsi="Verdana"/>
              </w:rPr>
              <w:t xml:space="preserve">Model S </w:t>
            </w:r>
          </w:p>
        </w:tc>
        <w:tc>
          <w:tcPr>
            <w:tcW w:w="0" w:type="auto"/>
            <w:hideMark/>
          </w:tcPr>
          <w:p w14:paraId="24232930" w14:textId="77777777" w:rsidR="003638AF" w:rsidRDefault="00000000">
            <w:pPr>
              <w:pStyle w:val="NormalWeb"/>
              <w:rPr>
                <w:rFonts w:ascii="Verdana" w:hAnsi="Verdana"/>
              </w:rPr>
            </w:pPr>
            <w:r>
              <w:rPr>
                <w:rFonts w:ascii="Verdana" w:hAnsi="Verdana"/>
              </w:rPr>
              <w:t xml:space="preserve">Up to 200 miles in 15 minutes </w:t>
            </w:r>
          </w:p>
        </w:tc>
      </w:tr>
      <w:tr w:rsidR="003638AF" w14:paraId="193090AD" w14:textId="77777777">
        <w:trPr>
          <w:divId w:val="746850493"/>
          <w:tblCellSpacing w:w="15" w:type="dxa"/>
        </w:trPr>
        <w:tc>
          <w:tcPr>
            <w:tcW w:w="0" w:type="auto"/>
            <w:hideMark/>
          </w:tcPr>
          <w:p w14:paraId="53FC06D4" w14:textId="77777777" w:rsidR="003638AF" w:rsidRDefault="00000000">
            <w:pPr>
              <w:pStyle w:val="NormalWeb"/>
              <w:rPr>
                <w:rFonts w:ascii="Verdana" w:hAnsi="Verdana"/>
              </w:rPr>
            </w:pPr>
            <w:r>
              <w:rPr>
                <w:rFonts w:ascii="Verdana" w:hAnsi="Verdana"/>
              </w:rPr>
              <w:t xml:space="preserve">Model 3 </w:t>
            </w:r>
          </w:p>
        </w:tc>
        <w:tc>
          <w:tcPr>
            <w:tcW w:w="0" w:type="auto"/>
            <w:hideMark/>
          </w:tcPr>
          <w:p w14:paraId="069EE7D5" w14:textId="77777777" w:rsidR="003638AF" w:rsidRDefault="00000000">
            <w:pPr>
              <w:pStyle w:val="NormalWeb"/>
              <w:rPr>
                <w:rFonts w:ascii="Verdana" w:hAnsi="Verdana"/>
              </w:rPr>
            </w:pPr>
            <w:r>
              <w:rPr>
                <w:rFonts w:ascii="Verdana" w:hAnsi="Verdana"/>
              </w:rPr>
              <w:t xml:space="preserve">Up to 175 miles in 15 minutes </w:t>
            </w:r>
          </w:p>
        </w:tc>
      </w:tr>
      <w:tr w:rsidR="003638AF" w14:paraId="4F748754" w14:textId="77777777">
        <w:trPr>
          <w:divId w:val="746850493"/>
          <w:tblCellSpacing w:w="15" w:type="dxa"/>
        </w:trPr>
        <w:tc>
          <w:tcPr>
            <w:tcW w:w="0" w:type="auto"/>
            <w:hideMark/>
          </w:tcPr>
          <w:p w14:paraId="772AFC75" w14:textId="77777777" w:rsidR="003638AF" w:rsidRDefault="00000000">
            <w:pPr>
              <w:pStyle w:val="NormalWeb"/>
              <w:rPr>
                <w:rFonts w:ascii="Verdana" w:hAnsi="Verdana"/>
              </w:rPr>
            </w:pPr>
            <w:r>
              <w:rPr>
                <w:rFonts w:ascii="Verdana" w:hAnsi="Verdana"/>
              </w:rPr>
              <w:t xml:space="preserve">Model X </w:t>
            </w:r>
          </w:p>
        </w:tc>
        <w:tc>
          <w:tcPr>
            <w:tcW w:w="0" w:type="auto"/>
            <w:hideMark/>
          </w:tcPr>
          <w:p w14:paraId="47241CE0" w14:textId="77777777" w:rsidR="003638AF" w:rsidRDefault="00000000">
            <w:pPr>
              <w:pStyle w:val="NormalWeb"/>
              <w:rPr>
                <w:rFonts w:ascii="Verdana" w:hAnsi="Verdana"/>
              </w:rPr>
            </w:pPr>
            <w:r>
              <w:rPr>
                <w:rFonts w:ascii="Verdana" w:hAnsi="Verdana"/>
              </w:rPr>
              <w:t xml:space="preserve">Up to 175 miles in 15 minutes </w:t>
            </w:r>
          </w:p>
        </w:tc>
      </w:tr>
      <w:tr w:rsidR="003638AF" w14:paraId="74B9BCAF" w14:textId="77777777">
        <w:trPr>
          <w:divId w:val="746850493"/>
          <w:tblCellSpacing w:w="15" w:type="dxa"/>
        </w:trPr>
        <w:tc>
          <w:tcPr>
            <w:tcW w:w="0" w:type="auto"/>
            <w:hideMark/>
          </w:tcPr>
          <w:p w14:paraId="44788612" w14:textId="77777777" w:rsidR="003638AF" w:rsidRDefault="00000000">
            <w:pPr>
              <w:pStyle w:val="NormalWeb"/>
              <w:rPr>
                <w:rFonts w:ascii="Verdana" w:hAnsi="Verdana"/>
              </w:rPr>
            </w:pPr>
            <w:r>
              <w:rPr>
                <w:rFonts w:ascii="Verdana" w:hAnsi="Verdana"/>
              </w:rPr>
              <w:t xml:space="preserve">Model Y </w:t>
            </w:r>
          </w:p>
        </w:tc>
        <w:tc>
          <w:tcPr>
            <w:tcW w:w="0" w:type="auto"/>
            <w:hideMark/>
          </w:tcPr>
          <w:p w14:paraId="5EBC313C" w14:textId="77777777" w:rsidR="003638AF" w:rsidRDefault="00000000">
            <w:pPr>
              <w:pStyle w:val="NormalWeb"/>
              <w:rPr>
                <w:rFonts w:ascii="Verdana" w:hAnsi="Verdana"/>
              </w:rPr>
            </w:pPr>
            <w:r>
              <w:rPr>
                <w:rFonts w:ascii="Verdana" w:hAnsi="Verdana"/>
              </w:rPr>
              <w:t xml:space="preserve">Up to 162 miles in 15 minutes </w:t>
            </w:r>
          </w:p>
        </w:tc>
      </w:tr>
    </w:tbl>
    <w:p w14:paraId="14888960" w14:textId="77777777" w:rsidR="003638AF" w:rsidRDefault="00000000">
      <w:pPr>
        <w:pStyle w:val="NormalWeb"/>
        <w:divId w:val="746850493"/>
        <w:rPr>
          <w:rFonts w:ascii="Verdana" w:hAnsi="Verdana"/>
        </w:rPr>
      </w:pPr>
      <w:r>
        <w:rPr>
          <w:rStyle w:val="Strong"/>
          <w:rFonts w:ascii="Verdana" w:hAnsi="Verdana"/>
        </w:rPr>
        <w:t>Note:</w:t>
      </w:r>
      <w:r>
        <w:rPr>
          <w:rFonts w:ascii="Verdana" w:hAnsi="Verdana"/>
        </w:rPr>
        <w:t xml:space="preserve"> Roadsters do not currently have Supercharging capabilities. </w:t>
      </w:r>
    </w:p>
    <w:p w14:paraId="550AEED5" w14:textId="77777777" w:rsidR="003638AF" w:rsidRDefault="00000000">
      <w:pPr>
        <w:pStyle w:val="NormalWeb"/>
        <w:divId w:val="746850493"/>
        <w:rPr>
          <w:rFonts w:ascii="Verdana" w:hAnsi="Verdana"/>
        </w:rPr>
      </w:pPr>
      <w:r>
        <w:rPr>
          <w:rStyle w:val="Strong"/>
          <w:rFonts w:ascii="Verdana" w:hAnsi="Verdana"/>
        </w:rPr>
        <w:t>How do I charge my vehicle with a Supercharger?</w:t>
      </w:r>
      <w:r>
        <w:rPr>
          <w:rFonts w:ascii="Verdana" w:hAnsi="Verdana"/>
        </w:rPr>
        <w:t xml:space="preserve"> </w:t>
      </w:r>
    </w:p>
    <w:p w14:paraId="1F793BBF" w14:textId="77777777" w:rsidR="003638AF" w:rsidRDefault="00000000">
      <w:pPr>
        <w:pStyle w:val="NormalWeb"/>
        <w:divId w:val="746850493"/>
        <w:rPr>
          <w:rFonts w:ascii="Verdana" w:hAnsi="Verdana"/>
        </w:rPr>
      </w:pPr>
      <w:r>
        <w:rPr>
          <w:rFonts w:ascii="Verdana" w:hAnsi="Verdana"/>
        </w:rPr>
        <w:t xml:space="preserve">Plug the charging connector into your vehicle charge port. Once successfully plugged in, the charge port LED will flash green to indicate that charging has begun. </w:t>
      </w:r>
    </w:p>
    <w:p w14:paraId="08F5C41D" w14:textId="686C18CD" w:rsidR="003638AF" w:rsidRDefault="00000000">
      <w:pPr>
        <w:pStyle w:val="NormalWeb"/>
        <w:divId w:val="746850493"/>
        <w:rPr>
          <w:rFonts w:ascii="Verdana" w:hAnsi="Verdana"/>
        </w:rPr>
      </w:pPr>
      <w:r>
        <w:rPr>
          <w:rFonts w:ascii="Verdana" w:hAnsi="Verdana"/>
        </w:rPr>
        <w:t xml:space="preserve">You can monitor your charging progress in your </w:t>
      </w:r>
      <w:proofErr w:type="spellStart"/>
      <w:r w:rsidR="00DE3411">
        <w:rPr>
          <w:rFonts w:ascii="Verdana" w:hAnsi="Verdana"/>
        </w:rPr>
        <w:t>Tuskla</w:t>
      </w:r>
      <w:proofErr w:type="spellEnd"/>
      <w:r>
        <w:rPr>
          <w:rFonts w:ascii="Verdana" w:hAnsi="Verdana"/>
        </w:rPr>
        <w:t xml:space="preserve"> app. Your payment will be processed directly from the payment method in your </w:t>
      </w:r>
      <w:proofErr w:type="spellStart"/>
      <w:r w:rsidR="00DE3411">
        <w:rPr>
          <w:rFonts w:ascii="Verdana" w:hAnsi="Verdana"/>
        </w:rPr>
        <w:t>Tuskla</w:t>
      </w:r>
      <w:proofErr w:type="spellEnd"/>
      <w:r>
        <w:rPr>
          <w:rFonts w:ascii="Verdana" w:hAnsi="Verdana"/>
        </w:rPr>
        <w:t xml:space="preserve"> Account. </w:t>
      </w:r>
    </w:p>
    <w:p w14:paraId="57714913" w14:textId="77777777" w:rsidR="003638AF" w:rsidRDefault="00000000">
      <w:pPr>
        <w:pStyle w:val="NormalWeb"/>
        <w:divId w:val="746850493"/>
        <w:rPr>
          <w:rFonts w:ascii="Verdana" w:hAnsi="Verdana"/>
        </w:rPr>
      </w:pPr>
      <w:r>
        <w:rPr>
          <w:rStyle w:val="Strong"/>
          <w:rFonts w:ascii="Verdana" w:hAnsi="Verdana"/>
        </w:rPr>
        <w:t xml:space="preserve">Should I </w:t>
      </w:r>
      <w:proofErr w:type="gramStart"/>
      <w:r>
        <w:rPr>
          <w:rStyle w:val="Strong"/>
          <w:rFonts w:ascii="Verdana" w:hAnsi="Verdana"/>
        </w:rPr>
        <w:t>charge to</w:t>
      </w:r>
      <w:proofErr w:type="gramEnd"/>
      <w:r>
        <w:rPr>
          <w:rStyle w:val="Strong"/>
          <w:rFonts w:ascii="Verdana" w:hAnsi="Verdana"/>
        </w:rPr>
        <w:t xml:space="preserve"> 100%?</w:t>
      </w:r>
      <w:r>
        <w:rPr>
          <w:rFonts w:ascii="Verdana" w:hAnsi="Verdana"/>
        </w:rPr>
        <w:t xml:space="preserve"> </w:t>
      </w:r>
    </w:p>
    <w:p w14:paraId="300D551D" w14:textId="232D98AF" w:rsidR="003638AF" w:rsidRDefault="00000000">
      <w:pPr>
        <w:pStyle w:val="NormalWeb"/>
        <w:divId w:val="746850493"/>
        <w:rPr>
          <w:rFonts w:ascii="Verdana" w:hAnsi="Verdana"/>
        </w:rPr>
      </w:pPr>
      <w:r>
        <w:rPr>
          <w:rFonts w:ascii="Verdana" w:hAnsi="Verdana"/>
        </w:rPr>
        <w:t>Your vehicle will recommend the needed charge level to get to the next Supercharger on your route. To reduce congestion at high-use Superchargers, your vehicle</w:t>
      </w:r>
      <w:r w:rsidR="00DE3411">
        <w:rPr>
          <w:rFonts w:ascii="Verdana" w:hAnsi="Verdana"/>
        </w:rPr>
        <w:t>'</w:t>
      </w:r>
      <w:r>
        <w:rPr>
          <w:rFonts w:ascii="Verdana" w:hAnsi="Verdana"/>
        </w:rPr>
        <w:t xml:space="preserve">s charge limit may be automatically adjusted to 80%. You can manually increase the charge limit after plugging in by using the vehicle touchscreen or </w:t>
      </w:r>
      <w:proofErr w:type="spellStart"/>
      <w:r w:rsidR="00DE3411">
        <w:rPr>
          <w:rFonts w:ascii="Verdana" w:hAnsi="Verdana"/>
        </w:rPr>
        <w:t>Tuskla</w:t>
      </w:r>
      <w:proofErr w:type="spellEnd"/>
      <w:r>
        <w:rPr>
          <w:rFonts w:ascii="Verdana" w:hAnsi="Verdana"/>
        </w:rPr>
        <w:t xml:space="preserve"> app. </w:t>
      </w:r>
    </w:p>
    <w:p w14:paraId="0A871301" w14:textId="77777777" w:rsidR="003638AF" w:rsidRDefault="00000000">
      <w:pPr>
        <w:pStyle w:val="NormalWeb"/>
        <w:divId w:val="746850493"/>
        <w:rPr>
          <w:rFonts w:ascii="Verdana" w:hAnsi="Verdana"/>
        </w:rPr>
      </w:pPr>
      <w:bookmarkStart w:id="1" w:name="locations"/>
      <w:bookmarkEnd w:id="1"/>
      <w:r>
        <w:rPr>
          <w:rStyle w:val="Strong"/>
          <w:rFonts w:ascii="Verdana" w:hAnsi="Verdana"/>
        </w:rPr>
        <w:t>Locating a Supercharger</w:t>
      </w:r>
      <w:r>
        <w:rPr>
          <w:rFonts w:ascii="Verdana" w:hAnsi="Verdana"/>
        </w:rPr>
        <w:t xml:space="preserve"> </w:t>
      </w:r>
    </w:p>
    <w:p w14:paraId="7AF0BC31" w14:textId="77777777" w:rsidR="003638AF" w:rsidRDefault="00000000">
      <w:pPr>
        <w:pStyle w:val="NormalWeb"/>
        <w:divId w:val="746850493"/>
        <w:rPr>
          <w:rFonts w:ascii="Verdana" w:hAnsi="Verdana"/>
        </w:rPr>
      </w:pPr>
      <w:r>
        <w:rPr>
          <w:rStyle w:val="Strong"/>
          <w:rFonts w:ascii="Verdana" w:hAnsi="Verdana"/>
        </w:rPr>
        <w:t>How can I locate available Supercharger sites?</w:t>
      </w:r>
      <w:r>
        <w:rPr>
          <w:rFonts w:ascii="Verdana" w:hAnsi="Verdana"/>
        </w:rPr>
        <w:t xml:space="preserve"> </w:t>
      </w:r>
    </w:p>
    <w:p w14:paraId="007091CD" w14:textId="77777777" w:rsidR="003638AF" w:rsidRDefault="00000000">
      <w:pPr>
        <w:pStyle w:val="NormalWeb"/>
        <w:divId w:val="746850493"/>
        <w:rPr>
          <w:rFonts w:ascii="Verdana" w:hAnsi="Verdana"/>
        </w:rPr>
      </w:pPr>
      <w:r>
        <w:rPr>
          <w:rFonts w:ascii="Verdana" w:hAnsi="Verdana"/>
        </w:rPr>
        <w:t xml:space="preserve">The interactive Trip Planner in your vehicle can help you locate a Supercharger site while you're on the road. To enable Trip Planner, touch 'Settings' &gt; 'Navigation' &gt; 'Trip Planner' on your touchscreen. </w:t>
      </w:r>
    </w:p>
    <w:p w14:paraId="79960B75" w14:textId="7192DC4D" w:rsidR="003638AF" w:rsidRDefault="00000000">
      <w:pPr>
        <w:pStyle w:val="NormalWeb"/>
        <w:divId w:val="746850493"/>
        <w:rPr>
          <w:rFonts w:ascii="Verdana" w:hAnsi="Verdana"/>
        </w:rPr>
      </w:pPr>
      <w:r>
        <w:rPr>
          <w:rFonts w:ascii="Verdana" w:hAnsi="Verdana"/>
        </w:rPr>
        <w:t>Once you have selected a site, your vehicle</w:t>
      </w:r>
      <w:r w:rsidR="00DE3411">
        <w:rPr>
          <w:rFonts w:ascii="Verdana" w:hAnsi="Verdana"/>
        </w:rPr>
        <w:t>'</w:t>
      </w:r>
      <w:r>
        <w:rPr>
          <w:rFonts w:ascii="Verdana" w:hAnsi="Verdana"/>
        </w:rPr>
        <w:t>s navigation will automatically route you to the nearest entrance of the property. You can then zoom in on the map to find the exact location of the station. Tap on the station</w:t>
      </w:r>
      <w:r w:rsidR="00DE3411">
        <w:rPr>
          <w:rFonts w:ascii="Verdana" w:hAnsi="Verdana"/>
        </w:rPr>
        <w:t>'</w:t>
      </w:r>
      <w:r>
        <w:rPr>
          <w:rFonts w:ascii="Verdana" w:hAnsi="Verdana"/>
        </w:rPr>
        <w:t xml:space="preserve">s red lightning bolt icon on your touchscreen if additional information is needed. </w:t>
      </w:r>
    </w:p>
    <w:p w14:paraId="0C428B3C" w14:textId="77777777" w:rsidR="003638AF" w:rsidRDefault="00000000">
      <w:pPr>
        <w:pStyle w:val="NormalWeb"/>
        <w:divId w:val="746850493"/>
        <w:rPr>
          <w:rFonts w:ascii="Verdana" w:hAnsi="Verdana"/>
        </w:rPr>
      </w:pPr>
      <w:r>
        <w:rPr>
          <w:rStyle w:val="Strong"/>
          <w:rFonts w:ascii="Verdana" w:hAnsi="Verdana"/>
        </w:rPr>
        <w:t>Are Superchargers always open?</w:t>
      </w:r>
      <w:r>
        <w:rPr>
          <w:rFonts w:ascii="Verdana" w:hAnsi="Verdana"/>
        </w:rPr>
        <w:t xml:space="preserve"> </w:t>
      </w:r>
    </w:p>
    <w:p w14:paraId="6FE421E2" w14:textId="77777777" w:rsidR="003638AF" w:rsidRDefault="00000000">
      <w:pPr>
        <w:pStyle w:val="NormalWeb"/>
        <w:divId w:val="746850493"/>
        <w:rPr>
          <w:rFonts w:ascii="Verdana" w:hAnsi="Verdana"/>
        </w:rPr>
      </w:pPr>
      <w:r>
        <w:rPr>
          <w:rFonts w:ascii="Verdana" w:hAnsi="Verdana"/>
        </w:rPr>
        <w:t xml:space="preserve">Almost all Supercharger stations are open for charging 24 hours a day, although nearby amenities are subject to business hours. </w:t>
      </w:r>
    </w:p>
    <w:p w14:paraId="1DF4D7EF" w14:textId="77777777" w:rsidR="003638AF" w:rsidRDefault="00000000">
      <w:pPr>
        <w:pStyle w:val="NormalWeb"/>
        <w:divId w:val="746850493"/>
        <w:rPr>
          <w:rFonts w:ascii="Verdana" w:hAnsi="Verdana"/>
        </w:rPr>
      </w:pPr>
      <w:r>
        <w:rPr>
          <w:rFonts w:ascii="Verdana" w:hAnsi="Verdana"/>
        </w:rPr>
        <w:t xml:space="preserve">If a Supercharger station does have limited hours, this will be displayed on the touchscreen when the site is selected. </w:t>
      </w:r>
    </w:p>
    <w:p w14:paraId="550CB6FA" w14:textId="77777777" w:rsidR="003638AF" w:rsidRDefault="00000000">
      <w:pPr>
        <w:pStyle w:val="NormalWeb"/>
        <w:divId w:val="746850493"/>
        <w:rPr>
          <w:rFonts w:ascii="Verdana" w:hAnsi="Verdana"/>
        </w:rPr>
      </w:pPr>
      <w:r>
        <w:rPr>
          <w:rStyle w:val="Strong"/>
          <w:rFonts w:ascii="Verdana" w:hAnsi="Verdana"/>
        </w:rPr>
        <w:t>Where exactly is the Supercharger station on the property?</w:t>
      </w:r>
      <w:r>
        <w:rPr>
          <w:rFonts w:ascii="Verdana" w:hAnsi="Verdana"/>
        </w:rPr>
        <w:t xml:space="preserve"> </w:t>
      </w:r>
    </w:p>
    <w:p w14:paraId="63D475C7" w14:textId="17623DCE" w:rsidR="003638AF" w:rsidRDefault="00000000">
      <w:pPr>
        <w:pStyle w:val="NormalWeb"/>
        <w:divId w:val="746850493"/>
        <w:rPr>
          <w:rFonts w:ascii="Verdana" w:hAnsi="Verdana"/>
        </w:rPr>
      </w:pPr>
      <w:r>
        <w:rPr>
          <w:rFonts w:ascii="Verdana" w:hAnsi="Verdana"/>
        </w:rPr>
        <w:t xml:space="preserve">Supercharger stations are GPS located in the touchscreen navigation. Your vehicle's navigation will route to the nearest </w:t>
      </w:r>
      <w:proofErr w:type="gramStart"/>
      <w:r>
        <w:rPr>
          <w:rFonts w:ascii="Verdana" w:hAnsi="Verdana"/>
        </w:rPr>
        <w:t>entrance</w:t>
      </w:r>
      <w:proofErr w:type="gramEnd"/>
      <w:r>
        <w:rPr>
          <w:rFonts w:ascii="Verdana" w:hAnsi="Verdana"/>
        </w:rPr>
        <w:t xml:space="preserve"> and you can zoom in on the map to find the exact location of the station. If additional instructions are needed, they can be displayed when you tap on the station</w:t>
      </w:r>
      <w:r w:rsidR="00DE3411">
        <w:rPr>
          <w:rFonts w:ascii="Verdana" w:hAnsi="Verdana"/>
        </w:rPr>
        <w:t>'</w:t>
      </w:r>
      <w:r>
        <w:rPr>
          <w:rFonts w:ascii="Verdana" w:hAnsi="Verdana"/>
        </w:rPr>
        <w:t xml:space="preserve">s red pin. Additional instructions may include a gate code, details on the parking level, peak hours and more. </w:t>
      </w:r>
    </w:p>
    <w:p w14:paraId="5D8D9E4D" w14:textId="6AD2DE8E" w:rsidR="00684319" w:rsidRDefault="00000000" w:rsidP="00B9011F">
      <w:pPr>
        <w:pStyle w:val="NormalWeb"/>
        <w:divId w:val="746850493"/>
        <w:rPr>
          <w:rFonts w:ascii="Verdana" w:hAnsi="Verdana"/>
        </w:rPr>
      </w:pPr>
      <w:bookmarkStart w:id="2" w:name="payment"/>
      <w:bookmarkEnd w:id="2"/>
      <w:r>
        <w:rPr>
          <w:rFonts w:ascii="Verdana" w:hAnsi="Verdana"/>
        </w:rPr>
        <w:t xml:space="preserve"> </w:t>
      </w:r>
    </w:p>
    <w:sectPr w:rsidR="0068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5105A"/>
    <w:multiLevelType w:val="multilevel"/>
    <w:tmpl w:val="054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EB3DAC"/>
    <w:multiLevelType w:val="multilevel"/>
    <w:tmpl w:val="81D4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07649403">
    <w:abstractNumId w:val="0"/>
  </w:num>
  <w:num w:numId="2" w16cid:durableId="1499729138">
    <w:abstractNumId w:val="1"/>
  </w:num>
  <w:num w:numId="3" w16cid:durableId="1498114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11"/>
    <w:rsid w:val="001C0F23"/>
    <w:rsid w:val="003638AF"/>
    <w:rsid w:val="00684319"/>
    <w:rsid w:val="00985762"/>
    <w:rsid w:val="00A41AC0"/>
    <w:rsid w:val="00A837A3"/>
    <w:rsid w:val="00B9011F"/>
    <w:rsid w:val="00DE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3DBF3"/>
  <w15:chartTrackingRefBased/>
  <w15:docId w15:val="{FD0EF16D-F257-44E6-BDFA-C2E36A90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navbar">
    <w:name w:val="navbar"/>
    <w:basedOn w:val="Normal"/>
    <w:uiPriority w:val="99"/>
    <w:semiHidden/>
    <w:pPr>
      <w:shd w:val="clear" w:color="auto" w:fill="000000"/>
      <w:spacing w:before="100" w:beforeAutospacing="1" w:after="100" w:afterAutospacing="1"/>
    </w:pPr>
    <w:rPr>
      <w:color w:val="FFFFFF"/>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50493">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
  <dc:creator>Joe OConnor</dc:creator>
  <cp:keywords/>
  <dc:description/>
  <cp:lastModifiedBy>Joe OConnor</cp:lastModifiedBy>
  <cp:revision>2</cp:revision>
  <dcterms:created xsi:type="dcterms:W3CDTF">2023-09-21T16:16:00Z</dcterms:created>
  <dcterms:modified xsi:type="dcterms:W3CDTF">2023-09-21T16:16:00Z</dcterms:modified>
</cp:coreProperties>
</file>