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eastAsia="Noto Sans TC"/>
          <w:rFonts w:ascii="Noto Sans TC" w:hAnsi="Noto Sans TC"/>
          <w:b/>
          <w:color w:val="1F497D"/>
          <w:sz w:val="36"/>
        </w:rPr>
        <w:t>艾琳諾雙品牌經銷商提貨儲值管理系統</w:t>
      </w:r>
    </w:p>
    <w:p>
      <w:pPr>
        <w:spacing w:before="160" w:after="80"/>
      </w:pPr>
      <w:r>
        <w:rPr>
          <w:rFonts w:eastAsia="Noto Sans TC"/>
          <w:rFonts w:ascii="Noto Sans TC" w:hAnsi="Noto Sans TC"/>
          <w:b/>
          <w:color w:val="1F497D"/>
          <w:sz w:val="28"/>
        </w:rPr>
        <w:t>數位轉型計畫書（消費者效益導向・供補助申請評估用）</w:t>
      </w:r>
    </w:p>
    <w:p>
      <w:r>
        <w:rPr>
          <w:rFonts w:eastAsia="Noto Sans TC"/>
          <w:rFonts w:ascii="Noto Sans TC" w:hAnsi="Noto Sans TC"/>
          <w:b w:val="0"/>
          <w:sz w:val="22"/>
        </w:rPr>
      </w:r>
      <w:r>
        <w:rPr>
          <w:rFonts w:eastAsia="Noto Sans TC"/>
          <w:rFonts w:ascii="Noto Sans TC" w:hAnsi="Noto Sans TC"/>
          <w:b/>
          <w:sz w:val="22"/>
        </w:rPr>
        <w:t>申請單位：</w:t>
      </w:r>
      <w:r>
        <w:rPr>
          <w:rFonts w:eastAsia="Noto Sans TC"/>
          <w:rFonts w:ascii="Noto Sans TC" w:hAnsi="Noto Sans TC"/>
          <w:b w:val="0"/>
          <w:sz w:val="22"/>
        </w:rPr>
        <w:t xml:space="preserve"> 艾琳諾股份有限公司（健康產品通路業）</w:t>
      </w:r>
    </w:p>
    <w:p>
      <w:r>
        <w:rPr>
          <w:rFonts w:eastAsia="Noto Sans TC"/>
          <w:rFonts w:ascii="Noto Sans TC" w:hAnsi="Noto Sans TC"/>
          <w:b w:val="0"/>
          <w:sz w:val="22"/>
        </w:rPr>
      </w:r>
      <w:r>
        <w:rPr>
          <w:rFonts w:eastAsia="Noto Sans TC"/>
          <w:rFonts w:ascii="Noto Sans TC" w:hAnsi="Noto Sans TC"/>
          <w:b/>
          <w:sz w:val="22"/>
        </w:rPr>
        <w:t>計畫名稱：</w:t>
      </w:r>
      <w:r>
        <w:rPr>
          <w:rFonts w:eastAsia="Noto Sans TC"/>
          <w:rFonts w:ascii="Noto Sans TC" w:hAnsi="Noto Sans TC"/>
          <w:b w:val="0"/>
          <w:sz w:val="22"/>
        </w:rPr>
        <w:t xml:space="preserve"> 雙品牌經銷商提貨儲值數位化管理系統建置計畫</w:t>
      </w:r>
    </w:p>
    <w:p>
      <w:r>
        <w:rPr>
          <w:rFonts w:eastAsia="Noto Sans TC"/>
          <w:rFonts w:ascii="Noto Sans TC" w:hAnsi="Noto Sans TC"/>
          <w:b w:val="0"/>
          <w:sz w:val="22"/>
        </w:rPr>
      </w:r>
      <w:r>
        <w:rPr>
          <w:rFonts w:eastAsia="Noto Sans TC"/>
          <w:rFonts w:ascii="Noto Sans TC" w:hAnsi="Noto Sans TC"/>
          <w:b/>
          <w:sz w:val="22"/>
        </w:rPr>
        <w:t>文件性質：</w:t>
      </w:r>
      <w:r>
        <w:rPr>
          <w:rFonts w:eastAsia="Noto Sans TC"/>
          <w:rFonts w:ascii="Noto Sans TC" w:hAnsi="Noto Sans TC"/>
          <w:b w:val="0"/>
          <w:sz w:val="22"/>
        </w:rPr>
        <w:t xml:space="preserve"> 補助案前期評估用企劃書草案</w:t>
      </w:r>
    </w:p>
    <w:p>
      <w:r>
        <w:rPr>
          <w:rFonts w:eastAsia="Noto Sans TC"/>
          <w:rFonts w:ascii="Noto Sans TC" w:hAnsi="Noto Sans TC"/>
          <w:b w:val="0"/>
          <w:sz w:val="22"/>
        </w:rPr>
      </w:r>
      <w:r>
        <w:rPr>
          <w:rFonts w:eastAsia="Noto Sans TC"/>
          <w:rFonts w:ascii="Noto Sans TC" w:hAnsi="Noto Sans TC"/>
          <w:b/>
          <w:sz w:val="22"/>
        </w:rPr>
        <w:t>撰寫日期：</w:t>
      </w:r>
      <w:r>
        <w:rPr>
          <w:rFonts w:eastAsia="Noto Sans TC"/>
          <w:rFonts w:ascii="Noto Sans TC" w:hAnsi="Noto Sans TC"/>
          <w:b w:val="0"/>
          <w:sz w:val="22"/>
        </w:rPr>
        <w:t xml:space="preserve"> 2026 年 7 月</w:t>
      </w:r>
    </w:p>
    <w:p>
      <w:r>
        <w:rPr>
          <w:rFonts w:eastAsia="Noto Sans TC"/>
          <w:rFonts w:ascii="Noto Sans TC" w:hAnsi="Noto Sans TC"/>
          <w:b w:val="0"/>
          <w:sz w:val="22"/>
        </w:rPr>
      </w:r>
      <w:r>
        <w:rPr>
          <w:rFonts w:eastAsia="Noto Sans TC"/>
          <w:rFonts w:ascii="Noto Sans TC" w:hAnsi="Noto Sans TC"/>
          <w:b/>
          <w:sz w:val="22"/>
        </w:rPr>
        <w:t>用途說明：</w:t>
      </w:r>
      <w:r>
        <w:rPr>
          <w:rFonts w:eastAsia="Noto Sans TC"/>
          <w:rFonts w:ascii="Noto Sans TC" w:hAnsi="Noto Sans TC"/>
          <w:b w:val="0"/>
          <w:sz w:val="22"/>
        </w:rPr>
        <w:t xml:space="preserve"> 本文件供補助顧問評估申請可行性使用，內容依據 2026-06-17 現場訪談診斷報告與系統 MVP 規劃書整理，金額與時程為企業內部估算，實際申請時請依顧問建議調整格式與補件。</w:t>
      </w:r>
    </w:p>
    <w:p>
      <w:pPr>
        <w:spacing w:before="80" w:after="80"/>
        <w:pBdr>
          <w:bottom w:val="single" w:sz="4" w:space="1" w:color="C0C0C0"/>
        </w:pBdr>
      </w:pPr>
    </w:p>
    <w:p>
      <w:pPr>
        <w:spacing w:before="160" w:after="80"/>
      </w:pPr>
      <w:r>
        <w:rPr>
          <w:rFonts w:eastAsia="Noto Sans TC"/>
          <w:rFonts w:ascii="Noto Sans TC" w:hAnsi="Noto Sans TC"/>
          <w:b/>
          <w:color w:val="1F497D"/>
          <w:sz w:val="28"/>
        </w:rPr>
        <w:t>一、計畫緣起與現況問題</w:t>
      </w:r>
    </w:p>
    <w:p>
      <w:pPr>
        <w:spacing w:before="40" w:after="40"/>
      </w:pPr>
      <w:r>
        <w:rPr>
          <w:rFonts w:eastAsia="Noto Sans TC"/>
          <w:rFonts w:ascii="Noto Sans TC" w:hAnsi="Noto Sans TC"/>
          <w:b w:val="0"/>
          <w:i w:val="0"/>
          <w:sz w:val="22"/>
        </w:rPr>
        <w:t>艾琳諾為健康產品通路業者，經營約 2,000 名經銷商（活躍約 100 名，4 代層級），透過口碑與長期信任關係服務終端消費者。目前提貨、儲值、佣金等核心流程高度依賴人工與口頭協議，2026-06-17 現場訪談診斷指出以下問題（詳見附件一《艾琳諾營運現況診斷報告》）：</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r>
              <w:rPr>
                <w:rFonts w:eastAsia="Noto Sans TC"/>
                <w:rFonts w:ascii="Noto Sans TC" w:hAnsi="Noto Sans TC"/>
                <w:b w:val="0"/>
                <w:sz w:val="20"/>
              </w:rPr>
              <w:t>問題</w:t>
            </w:r>
          </w:p>
        </w:tc>
        <w:tc>
          <w:tcPr>
            <w:tcW w:type="dxa" w:w="3024"/>
            <w:shd w:val="clear" w:color="auto" w:fill="D9E2F3"/>
          </w:tcPr>
          <w:p>
            <w:r>
              <w:rPr>
                <w:rFonts w:eastAsia="Noto Sans TC"/>
                <w:rFonts w:ascii="Noto Sans TC" w:hAnsi="Noto Sans TC"/>
                <w:b w:val="0"/>
                <w:sz w:val="20"/>
              </w:rPr>
              <w:t>對企業的影響</w:t>
            </w:r>
          </w:p>
        </w:tc>
        <w:tc>
          <w:tcPr>
            <w:tcW w:type="dxa" w:w="3024"/>
            <w:shd w:val="clear" w:color="auto" w:fill="D9E2F3"/>
          </w:tcPr>
          <w:p>
            <w:r>
              <w:rPr>
                <w:rFonts w:eastAsia="Noto Sans TC"/>
                <w:rFonts w:ascii="Noto Sans TC" w:hAnsi="Noto Sans TC"/>
                <w:b w:val="0"/>
                <w:sz w:val="20"/>
              </w:rPr>
              <w:t>對消費者／經銷商的直接影響</w:t>
            </w:r>
          </w:p>
        </w:tc>
      </w:tr>
      <w:tr>
        <w:tc>
          <w:tcPr>
            <w:tcW w:type="dxa" w:w="3024"/>
          </w:tcPr>
          <w:p>
            <w:r>
              <w:rPr>
                <w:rFonts w:eastAsia="Noto Sans TC"/>
                <w:rFonts w:ascii="Noto Sans TC" w:hAnsi="Noto Sans TC"/>
                <w:b w:val="0"/>
                <w:sz w:val="20"/>
              </w:rPr>
              <w:t>資料控制權外流</w:t>
            </w:r>
          </w:p>
        </w:tc>
        <w:tc>
          <w:tcPr>
            <w:tcW w:type="dxa" w:w="3024"/>
          </w:tcPr>
          <w:p>
            <w:r>
              <w:rPr>
                <w:rFonts w:eastAsia="Noto Sans TC"/>
                <w:rFonts w:ascii="Noto Sans TC" w:hAnsi="Noto Sans TC"/>
                <w:b w:val="0"/>
                <w:sz w:val="20"/>
              </w:rPr>
              <w:t>系統程式碼與客戶資料庫存放於前工程師主機，公司無直接存取權</w:t>
            </w:r>
          </w:p>
        </w:tc>
        <w:tc>
          <w:tcPr>
            <w:tcW w:type="dxa" w:w="3024"/>
          </w:tcPr>
          <w:p>
            <w:r>
              <w:rPr>
                <w:rFonts w:eastAsia="Noto Sans TC"/>
                <w:rFonts w:ascii="Noto Sans TC" w:hAnsi="Noto Sans TC"/>
                <w:b w:val="0"/>
                <w:sz w:val="20"/>
              </w:rPr>
              <w:t>消費者個資與交易紀錄的保護，繫於第三方個人是否配合，存在資料安全與隱私風險</w:t>
            </w:r>
          </w:p>
        </w:tc>
      </w:tr>
      <w:tr>
        <w:tc>
          <w:tcPr>
            <w:tcW w:type="dxa" w:w="3024"/>
          </w:tcPr>
          <w:p>
            <w:r>
              <w:rPr>
                <w:rFonts w:eastAsia="Noto Sans TC"/>
                <w:rFonts w:ascii="Noto Sans TC" w:hAnsi="Noto Sans TC"/>
                <w:b w:val="0"/>
                <w:sz w:val="20"/>
              </w:rPr>
              <w:t>儲值與提貨分兩個頁面操作</w:t>
            </w:r>
          </w:p>
        </w:tc>
        <w:tc>
          <w:tcPr>
            <w:tcW w:type="dxa" w:w="3024"/>
          </w:tcPr>
          <w:p>
            <w:r>
              <w:rPr>
                <w:rFonts w:eastAsia="Noto Sans TC"/>
                <w:rFonts w:ascii="Noto Sans TC" w:hAnsi="Noto Sans TC"/>
                <w:b w:val="0"/>
                <w:sz w:val="20"/>
              </w:rPr>
              <w:t>內部作業繁瑣、易生落差</w:t>
            </w:r>
          </w:p>
        </w:tc>
        <w:tc>
          <w:tcPr>
            <w:tcW w:type="dxa" w:w="3024"/>
          </w:tcPr>
          <w:p>
            <w:r>
              <w:rPr>
                <w:rFonts w:eastAsia="Noto Sans TC"/>
                <w:rFonts w:ascii="Noto Sans TC" w:hAnsi="Noto Sans TC"/>
                <w:b w:val="0"/>
                <w:sz w:val="20"/>
              </w:rPr>
              <w:t>消費者／經銷商儲值後常需人工電話確認才能完成提貨，等待時間拉長</w:t>
            </w:r>
          </w:p>
        </w:tc>
      </w:tr>
      <w:tr>
        <w:tc>
          <w:tcPr>
            <w:tcW w:type="dxa" w:w="3024"/>
          </w:tcPr>
          <w:p>
            <w:r>
              <w:rPr>
                <w:rFonts w:eastAsia="Noto Sans TC"/>
                <w:rFonts w:ascii="Noto Sans TC" w:hAnsi="Noto Sans TC"/>
                <w:b w:val="0"/>
                <w:sz w:val="20"/>
              </w:rPr>
              <w:t>庫存與提貨紀錄不準確</w:t>
            </w:r>
          </w:p>
        </w:tc>
        <w:tc>
          <w:tcPr>
            <w:tcW w:type="dxa" w:w="3024"/>
          </w:tcPr>
          <w:p>
            <w:r>
              <w:rPr>
                <w:rFonts w:eastAsia="Noto Sans TC"/>
                <w:rFonts w:ascii="Noto Sans TC" w:hAnsi="Noto Sans TC"/>
                <w:b w:val="0"/>
                <w:sz w:val="20"/>
              </w:rPr>
              <w:t>每月盤點與系統數字不符，需額外對帳</w:t>
            </w:r>
          </w:p>
        </w:tc>
        <w:tc>
          <w:tcPr>
            <w:tcW w:type="dxa" w:w="3024"/>
          </w:tcPr>
          <w:p>
            <w:r>
              <w:rPr>
                <w:rFonts w:eastAsia="Noto Sans TC"/>
                <w:rFonts w:ascii="Noto Sans TC" w:hAnsi="Noto Sans TC"/>
                <w:b w:val="0"/>
                <w:sz w:val="20"/>
              </w:rPr>
              <w:t>消費者提貨進度無法即時查詢，發生「東西到底有沒有出貨」的資訊落差</w:t>
            </w:r>
          </w:p>
        </w:tc>
      </w:tr>
      <w:tr>
        <w:tc>
          <w:tcPr>
            <w:tcW w:type="dxa" w:w="3024"/>
          </w:tcPr>
          <w:p>
            <w:r>
              <w:rPr>
                <w:rFonts w:eastAsia="Noto Sans TC"/>
                <w:rFonts w:ascii="Noto Sans TC" w:hAnsi="Noto Sans TC"/>
                <w:b w:val="0"/>
                <w:sz w:val="20"/>
              </w:rPr>
              <w:t>經銷商／消費者無法自助查詢</w:t>
            </w:r>
          </w:p>
        </w:tc>
        <w:tc>
          <w:tcPr>
            <w:tcW w:type="dxa" w:w="3024"/>
          </w:tcPr>
          <w:p>
            <w:r>
              <w:rPr>
                <w:rFonts w:eastAsia="Noto Sans TC"/>
                <w:rFonts w:ascii="Noto Sans TC" w:hAnsi="Noto Sans TC"/>
                <w:b w:val="0"/>
                <w:sz w:val="20"/>
              </w:rPr>
              <w:t>大量人工回報負擔</w:t>
            </w:r>
          </w:p>
        </w:tc>
        <w:tc>
          <w:tcPr>
            <w:tcW w:type="dxa" w:w="3024"/>
          </w:tcPr>
          <w:p>
            <w:r>
              <w:rPr>
                <w:rFonts w:eastAsia="Noto Sans TC"/>
                <w:rFonts w:ascii="Noto Sans TC" w:hAnsi="Noto Sans TC"/>
                <w:b w:val="0"/>
                <w:sz w:val="20"/>
              </w:rPr>
              <w:t>消費者必須透過 LINE 或電話才能得知點數餘額、提貨狀態，缺乏即時透明的自助管道</w:t>
            </w:r>
          </w:p>
        </w:tc>
      </w:tr>
      <w:tr>
        <w:tc>
          <w:tcPr>
            <w:tcW w:type="dxa" w:w="3024"/>
          </w:tcPr>
          <w:p>
            <w:r>
              <w:rPr>
                <w:rFonts w:eastAsia="Noto Sans TC"/>
                <w:rFonts w:ascii="Noto Sans TC" w:hAnsi="Noto Sans TC"/>
                <w:b w:val="0"/>
                <w:sz w:val="20"/>
              </w:rPr>
              <w:t>決策與例外規則無書面留存</w:t>
            </w:r>
          </w:p>
        </w:tc>
        <w:tc>
          <w:tcPr>
            <w:tcW w:type="dxa" w:w="3024"/>
          </w:tcPr>
          <w:p>
            <w:r>
              <w:rPr>
                <w:rFonts w:eastAsia="Noto Sans TC"/>
                <w:rFonts w:ascii="Noto Sans TC" w:hAnsi="Noto Sans TC"/>
                <w:b w:val="0"/>
                <w:sz w:val="20"/>
              </w:rPr>
              <w:t>事後爭議、溝通成本高</w:t>
            </w:r>
          </w:p>
        </w:tc>
        <w:tc>
          <w:tcPr>
            <w:tcW w:type="dxa" w:w="3024"/>
          </w:tcPr>
          <w:p>
            <w:r>
              <w:rPr>
                <w:rFonts w:eastAsia="Noto Sans TC"/>
                <w:rFonts w:ascii="Noto Sans TC" w:hAnsi="Noto Sans TC"/>
                <w:b w:val="0"/>
                <w:sz w:val="20"/>
              </w:rPr>
              <w:t>消費者遇到退換貨、點數認列等例外狀況時，缺乏一致、可被追溯的處理依據，權益保障不足</w:t>
            </w:r>
          </w:p>
        </w:tc>
      </w:tr>
    </w:tbl>
    <w:p/>
    <w:p>
      <w:r>
        <w:rPr>
          <w:rFonts w:eastAsia="Noto Sans TC"/>
          <w:rFonts w:ascii="Noto Sans TC" w:hAnsi="Noto Sans TC"/>
          <w:b w:val="0"/>
          <w:sz w:val="22"/>
        </w:rPr>
      </w:r>
      <w:r>
        <w:rPr>
          <w:rFonts w:eastAsia="Noto Sans TC"/>
          <w:rFonts w:ascii="Noto Sans TC" w:hAnsi="Noto Sans TC"/>
          <w:b/>
          <w:sz w:val="22"/>
        </w:rPr>
        <w:t>一句話總結問題核心</w:t>
      </w:r>
      <w:r>
        <w:rPr>
          <w:rFonts w:eastAsia="Noto Sans TC"/>
          <w:rFonts w:ascii="Noto Sans TC" w:hAnsi="Noto Sans TC"/>
          <w:b w:val="0"/>
          <w:sz w:val="22"/>
        </w:rPr>
        <w:t>：艾琳諾現行系統無法讓消費者「看得到自己的錢與貨到哪裡了」，也無法保證「同樣的情況會得到同樣的處理」——這正是本計畫希望透過系統化解決的核心缺口。</w:t>
      </w:r>
    </w:p>
    <w:p>
      <w:pPr>
        <w:spacing w:before="80" w:after="80"/>
        <w:pBdr>
          <w:bottom w:val="single" w:sz="4" w:space="1" w:color="C0C0C0"/>
        </w:pBdr>
      </w:pPr>
    </w:p>
    <w:p>
      <w:pPr>
        <w:spacing w:before="160" w:after="80"/>
      </w:pPr>
      <w:r>
        <w:rPr>
          <w:rFonts w:eastAsia="Noto Sans TC"/>
          <w:rFonts w:ascii="Noto Sans TC" w:hAnsi="Noto Sans TC"/>
          <w:b/>
          <w:color w:val="1F497D"/>
          <w:sz w:val="28"/>
        </w:rPr>
        <w:t>二、計畫目標</w:t>
      </w:r>
    </w:p>
    <w:p>
      <w:pPr>
        <w:spacing w:before="160" w:after="80"/>
      </w:pPr>
      <w:r>
        <w:rPr>
          <w:rFonts w:eastAsia="Noto Sans TC"/>
          <w:rFonts w:ascii="Noto Sans TC" w:hAnsi="Noto Sans TC"/>
          <w:b/>
          <w:color w:val="4472C4"/>
          <w:sz w:val="24"/>
        </w:rPr>
        <w:t>總目標</w:t>
      </w:r>
    </w:p>
    <w:p>
      <w:pPr>
        <w:spacing w:before="40" w:after="40"/>
      </w:pPr>
      <w:r>
        <w:rPr>
          <w:rFonts w:eastAsia="Noto Sans TC"/>
          <w:rFonts w:ascii="Noto Sans TC" w:hAnsi="Noto Sans TC"/>
          <w:b w:val="0"/>
          <w:i w:val="0"/>
          <w:sz w:val="22"/>
        </w:rPr>
        <w:t>建置雙品牌（A／B）經銷商提貨儲值管理系統，將現行依賴人工與口頭協議的流程，轉換為可追溯、可查詢、規則透明的數位化服務體系。</w:t>
      </w:r>
    </w:p>
    <w:p>
      <w:pPr>
        <w:spacing w:before="160" w:after="80"/>
      </w:pPr>
      <w:r>
        <w:rPr>
          <w:rFonts w:eastAsia="Noto Sans TC"/>
          <w:rFonts w:ascii="Noto Sans TC" w:hAnsi="Noto Sans TC"/>
          <w:b/>
          <w:color w:val="4472C4"/>
          <w:sz w:val="24"/>
        </w:rPr>
        <w:t>消費者導向子目標</w:t>
      </w:r>
    </w:p>
    <w:p>
      <w:pPr>
        <w:pStyle w:val="ListBullet"/>
        <w:spacing w:before="20" w:after="20"/>
        <w:ind w:left="360"/>
      </w:pPr>
      <w:r>
        <w:rPr>
          <w:rFonts w:eastAsia="Noto Sans TC"/>
          <w:rFonts w:ascii="Noto Sans TC" w:hAnsi="Noto Sans TC"/>
          <w:b w:val="0"/>
          <w:sz w:val="22"/>
        </w:rPr>
      </w:r>
      <w:r>
        <w:rPr>
          <w:rFonts w:eastAsia="Noto Sans TC"/>
          <w:rFonts w:ascii="Noto Sans TC" w:hAnsi="Noto Sans TC"/>
          <w:b/>
          <w:sz w:val="22"/>
        </w:rPr>
        <w:t>資訊透明化</w:t>
      </w:r>
      <w:r>
        <w:rPr>
          <w:rFonts w:eastAsia="Noto Sans TC"/>
          <w:rFonts w:ascii="Noto Sans TC" w:hAnsi="Noto Sans TC"/>
          <w:b w:val="0"/>
          <w:sz w:val="22"/>
        </w:rPr>
        <w:t>：讓消費者／經銷商能即時查詢自己的點數餘額、提貨進度、歷史紀錄，不必再透過電話或 LINE 等待人工回報。</w:t>
      </w:r>
    </w:p>
    <w:p>
      <w:pPr>
        <w:pStyle w:val="ListBullet"/>
        <w:spacing w:before="20" w:after="20"/>
        <w:ind w:left="360"/>
      </w:pPr>
      <w:r>
        <w:rPr>
          <w:rFonts w:eastAsia="Noto Sans TC"/>
          <w:rFonts w:ascii="Noto Sans TC" w:hAnsi="Noto Sans TC"/>
          <w:b w:val="0"/>
          <w:sz w:val="22"/>
        </w:rPr>
      </w:r>
      <w:r>
        <w:rPr>
          <w:rFonts w:eastAsia="Noto Sans TC"/>
          <w:rFonts w:ascii="Noto Sans TC" w:hAnsi="Noto Sans TC"/>
          <w:b/>
          <w:sz w:val="22"/>
        </w:rPr>
        <w:t>金流安全與效率</w:t>
      </w:r>
      <w:r>
        <w:rPr>
          <w:rFonts w:eastAsia="Noto Sans TC"/>
          <w:rFonts w:ascii="Noto Sans TC" w:hAnsi="Noto Sans TC"/>
          <w:b w:val="0"/>
          <w:sz w:val="22"/>
        </w:rPr>
        <w:t>：導入第三方支付（玉山金流）Webhook 自動入點，取代人工 key 帳，降低金流認列延遲與人為疏漏風險，消費者儲值後款項去向可追溯。</w:t>
      </w:r>
    </w:p>
    <w:p>
      <w:pPr>
        <w:pStyle w:val="ListBullet"/>
        <w:spacing w:before="20" w:after="20"/>
        <w:ind w:left="360"/>
      </w:pPr>
      <w:r>
        <w:rPr>
          <w:rFonts w:eastAsia="Noto Sans TC"/>
          <w:rFonts w:ascii="Noto Sans TC" w:hAnsi="Noto Sans TC"/>
          <w:b w:val="0"/>
          <w:sz w:val="22"/>
        </w:rPr>
      </w:r>
      <w:r>
        <w:rPr>
          <w:rFonts w:eastAsia="Noto Sans TC"/>
          <w:rFonts w:ascii="Noto Sans TC" w:hAnsi="Noto Sans TC"/>
          <w:b/>
          <w:sz w:val="22"/>
        </w:rPr>
        <w:t>服務規則一致化</w:t>
      </w:r>
      <w:r>
        <w:rPr>
          <w:rFonts w:eastAsia="Noto Sans TC"/>
          <w:rFonts w:ascii="Noto Sans TC" w:hAnsi="Noto Sans TC"/>
          <w:b w:val="0"/>
          <w:sz w:val="22"/>
        </w:rPr>
        <w:t>：將退換貨、取消提貨、點數異動等規則寫入系統（如「1 個月內保證退／換品退換／9 折回購」），確保每一位消費者遇到相同情況受到相同處理，降低爭議。</w:t>
      </w:r>
    </w:p>
    <w:p>
      <w:pPr>
        <w:pStyle w:val="ListBullet"/>
        <w:spacing w:before="20" w:after="20"/>
        <w:ind w:left="360"/>
      </w:pPr>
      <w:r>
        <w:rPr>
          <w:rFonts w:eastAsia="Noto Sans TC"/>
          <w:rFonts w:ascii="Noto Sans TC" w:hAnsi="Noto Sans TC"/>
          <w:b w:val="0"/>
          <w:sz w:val="22"/>
        </w:rPr>
      </w:r>
      <w:r>
        <w:rPr>
          <w:rFonts w:eastAsia="Noto Sans TC"/>
          <w:rFonts w:ascii="Noto Sans TC" w:hAnsi="Noto Sans TC"/>
          <w:b/>
          <w:sz w:val="22"/>
        </w:rPr>
        <w:t>個資與交易安全</w:t>
      </w:r>
      <w:r>
        <w:rPr>
          <w:rFonts w:eastAsia="Noto Sans TC"/>
          <w:rFonts w:ascii="Noto Sans TC" w:hAnsi="Noto Sans TC"/>
          <w:b w:val="0"/>
          <w:sz w:val="22"/>
        </w:rPr>
        <w:t>：將資料庫從第三方個人主機收回，建立公司自有雲端環境，降低消費者個資外洩風險。</w:t>
      </w:r>
    </w:p>
    <w:p>
      <w:pPr>
        <w:pStyle w:val="ListBullet"/>
        <w:spacing w:before="20" w:after="20"/>
        <w:ind w:left="360"/>
      </w:pPr>
      <w:r>
        <w:rPr>
          <w:rFonts w:eastAsia="Noto Sans TC"/>
          <w:rFonts w:ascii="Noto Sans TC" w:hAnsi="Noto Sans TC"/>
          <w:b w:val="0"/>
          <w:sz w:val="22"/>
        </w:rPr>
      </w:r>
      <w:r>
        <w:rPr>
          <w:rFonts w:eastAsia="Noto Sans TC"/>
          <w:rFonts w:ascii="Noto Sans TC" w:hAnsi="Noto Sans TC"/>
          <w:b/>
          <w:sz w:val="22"/>
        </w:rPr>
        <w:t>服務範圍擴大（第四階段）</w:t>
      </w:r>
      <w:r>
        <w:rPr>
          <w:rFonts w:eastAsia="Noto Sans TC"/>
          <w:rFonts w:ascii="Noto Sans TC" w:hAnsi="Noto Sans TC"/>
          <w:b w:val="0"/>
          <w:sz w:val="22"/>
        </w:rPr>
        <w:t>：開放 A 品牌獨立消費者商城，讓非經銷體系內的一般消費者也能透過經銷商專屬連結直接下單，不需登入即可瀏覽，購物門檻降低。</w:t>
      </w:r>
    </w:p>
    <w:p>
      <w:pPr>
        <w:spacing w:before="80" w:after="80"/>
        <w:pBdr>
          <w:bottom w:val="single" w:sz="4" w:space="1" w:color="C0C0C0"/>
        </w:pBdr>
      </w:pPr>
    </w:p>
    <w:p>
      <w:pPr>
        <w:spacing w:before="160" w:after="80"/>
      </w:pPr>
      <w:r>
        <w:rPr>
          <w:rFonts w:eastAsia="Noto Sans TC"/>
          <w:rFonts w:ascii="Noto Sans TC" w:hAnsi="Noto Sans TC"/>
          <w:b/>
          <w:color w:val="1F497D"/>
          <w:sz w:val="28"/>
        </w:rPr>
        <w:t>三、消費者效益分析（本計畫核心價值）</w:t>
      </w:r>
    </w:p>
    <w:p>
      <w:pPr>
        <w:spacing w:before="160" w:after="80"/>
      </w:pPr>
      <w:r>
        <w:rPr>
          <w:rFonts w:eastAsia="Noto Sans TC"/>
          <w:rFonts w:ascii="Noto Sans TC" w:hAnsi="Noto Sans TC"/>
          <w:b/>
          <w:color w:val="4472C4"/>
          <w:sz w:val="24"/>
        </w:rPr>
        <w:t>3.1 誰是本計畫的「消費者」</w:t>
      </w:r>
    </w:p>
    <w:p>
      <w:pPr>
        <w:spacing w:before="40" w:after="40"/>
      </w:pPr>
      <w:r>
        <w:rPr>
          <w:rFonts w:eastAsia="Noto Sans TC"/>
          <w:rFonts w:ascii="Noto Sans TC" w:hAnsi="Noto Sans TC"/>
          <w:b w:val="0"/>
          <w:i w:val="0"/>
          <w:sz w:val="22"/>
        </w:rPr>
        <w:t>本計畫服務對象分兩層，兩層都是廣義的終端使用者：</w:t>
      </w:r>
    </w:p>
    <w:p>
      <w:pPr>
        <w:pStyle w:val="ListBullet"/>
        <w:spacing w:before="20" w:after="20"/>
        <w:ind w:left="360"/>
      </w:pPr>
      <w:r>
        <w:rPr>
          <w:rFonts w:eastAsia="Noto Sans TC"/>
          <w:rFonts w:ascii="Noto Sans TC" w:hAnsi="Noto Sans TC"/>
          <w:b w:val="0"/>
          <w:sz w:val="22"/>
        </w:rPr>
      </w:r>
      <w:r>
        <w:rPr>
          <w:rFonts w:eastAsia="Noto Sans TC"/>
          <w:rFonts w:ascii="Noto Sans TC" w:hAnsi="Noto Sans TC"/>
          <w:b/>
          <w:sz w:val="22"/>
        </w:rPr>
        <w:t>A 品牌經銷商（B2B2C 中的第一線服務者）</w:t>
      </w:r>
      <w:r>
        <w:rPr>
          <w:rFonts w:eastAsia="Noto Sans TC"/>
          <w:rFonts w:ascii="Noto Sans TC" w:hAnsi="Noto Sans TC"/>
          <w:b w:val="0"/>
          <w:sz w:val="22"/>
        </w:rPr>
        <w:t>：本身也是系統使用者，其查詢、儲值、提貨體驗的改善，直接反映在他們服務的終端消費者身上。</w:t>
      </w:r>
    </w:p>
    <w:p>
      <w:pPr>
        <w:pStyle w:val="ListBullet"/>
        <w:spacing w:before="20" w:after="20"/>
        <w:ind w:left="360"/>
      </w:pPr>
      <w:r>
        <w:rPr>
          <w:rFonts w:eastAsia="Noto Sans TC"/>
          <w:rFonts w:ascii="Noto Sans TC" w:hAnsi="Noto Sans TC"/>
          <w:b w:val="0"/>
          <w:sz w:val="22"/>
        </w:rPr>
      </w:r>
      <w:r>
        <w:rPr>
          <w:rFonts w:eastAsia="Noto Sans TC"/>
          <w:rFonts w:ascii="Noto Sans TC" w:hAnsi="Noto Sans TC"/>
          <w:b/>
          <w:sz w:val="22"/>
        </w:rPr>
        <w:t>A 品牌終端消費者（第四階段開放）</w:t>
      </w:r>
      <w:r>
        <w:rPr>
          <w:rFonts w:eastAsia="Noto Sans TC"/>
          <w:rFonts w:ascii="Noto Sans TC" w:hAnsi="Noto Sans TC"/>
          <w:b w:val="0"/>
          <w:sz w:val="22"/>
        </w:rPr>
        <w:t>：透過經銷商專屬商城連結直接下單購買健康產品的一般民眾。</w:t>
      </w:r>
    </w:p>
    <w:p>
      <w:pPr>
        <w:spacing w:before="160" w:after="80"/>
      </w:pPr>
      <w:r>
        <w:rPr>
          <w:rFonts w:eastAsia="Noto Sans TC"/>
          <w:rFonts w:ascii="Noto Sans TC" w:hAnsi="Noto Sans TC"/>
          <w:b/>
          <w:color w:val="4472C4"/>
          <w:sz w:val="24"/>
        </w:rPr>
        <w:t>3.2 具體消費者效益</w:t>
      </w:r>
    </w:p>
    <w:p>
      <w:r>
        <w:rPr>
          <w:rFonts w:eastAsia="Noto Sans TC"/>
          <w:rFonts w:ascii="Noto Sans TC" w:hAnsi="Noto Sans TC"/>
          <w:b/>
          <w:sz w:val="22"/>
        </w:rPr>
        <w:t>① 資訊對等，降低資訊落差</w:t>
      </w:r>
    </w:p>
    <w:p>
      <w:pPr>
        <w:spacing w:before="40" w:after="40"/>
      </w:pPr>
      <w:r>
        <w:rPr>
          <w:rFonts w:eastAsia="Noto Sans TC"/>
          <w:rFonts w:ascii="Noto Sans TC" w:hAnsi="Noto Sans TC"/>
          <w:b w:val="0"/>
          <w:i w:val="0"/>
          <w:sz w:val="22"/>
        </w:rPr>
        <w:t>現行制度下，消費者／經銷商對自己的點數與提貨狀態「不透明」，必須被動等待公司人工回報。系統上線後可自助查詢餘額明細、提貨進度、歷史紀錄，資訊取得從「被動詢問」變成「主動掌握」。</w:t>
      </w:r>
    </w:p>
    <w:p>
      <w:r>
        <w:rPr>
          <w:rFonts w:eastAsia="Noto Sans TC"/>
          <w:rFonts w:ascii="Noto Sans TC" w:hAnsi="Noto Sans TC"/>
          <w:b/>
          <w:sz w:val="22"/>
        </w:rPr>
        <w:t>② 金流保障，降低誤帳與延遲風險</w:t>
      </w:r>
    </w:p>
    <w:p>
      <w:pPr>
        <w:spacing w:before="40" w:after="40"/>
      </w:pPr>
      <w:r>
        <w:rPr>
          <w:rFonts w:eastAsia="Noto Sans TC"/>
          <w:rFonts w:ascii="Noto Sans TC" w:hAnsi="Noto Sans TC"/>
          <w:b w:val="0"/>
          <w:i w:val="0"/>
          <w:sz w:val="22"/>
        </w:rPr>
        <w:t>玉山金流 Webhook 自動入點取代人工登帳，消費者刷卡後點數即時入帳，不需人工確認，降低「錢付了但點數沒到」的認知落差與潛在爭議。所有金流最終進入公司帳戶（非直接進經銷商個人帳戶），資金流向更透明、可受公司稽核控管，保障消費者付款安全。</w:t>
      </w:r>
    </w:p>
    <w:p>
      <w:r>
        <w:rPr>
          <w:rFonts w:eastAsia="Noto Sans TC"/>
          <w:rFonts w:ascii="Noto Sans TC" w:hAnsi="Noto Sans TC"/>
          <w:b/>
          <w:sz w:val="22"/>
        </w:rPr>
        <w:t>③ 服務規則一致，減少消費者權益爭議</w:t>
      </w:r>
    </w:p>
    <w:p>
      <w:pPr>
        <w:spacing w:before="40" w:after="40"/>
      </w:pPr>
      <w:r>
        <w:rPr>
          <w:rFonts w:eastAsia="Noto Sans TC"/>
          <w:rFonts w:ascii="Noto Sans TC" w:hAnsi="Noto Sans TC"/>
          <w:b w:val="0"/>
          <w:i w:val="0"/>
          <w:sz w:val="22"/>
        </w:rPr>
        <w:t>退換貨（1 個月內保證退／換品退換／9 折回購）、取消提貨退點、點數異動等規則明確寫入系統邏輯並全程留稽核紀錄，消費者不再因「承辦人不同、處理結果不同」而權益受損。</w:t>
      </w:r>
    </w:p>
    <w:p>
      <w:r>
        <w:rPr>
          <w:rFonts w:eastAsia="Noto Sans TC"/>
          <w:rFonts w:ascii="Noto Sans TC" w:hAnsi="Noto Sans TC"/>
          <w:b/>
          <w:sz w:val="22"/>
        </w:rPr>
        <w:t>④ 個資保護升級</w:t>
      </w:r>
    </w:p>
    <w:p>
      <w:pPr>
        <w:spacing w:before="40" w:after="40"/>
      </w:pPr>
      <w:r>
        <w:rPr>
          <w:rFonts w:eastAsia="Noto Sans TC"/>
          <w:rFonts w:ascii="Noto Sans TC" w:hAnsi="Noto Sans TC"/>
          <w:b w:val="0"/>
          <w:i w:val="0"/>
          <w:sz w:val="22"/>
        </w:rPr>
        <w:t>現行客戶資料庫存放於前工程師個人主機，公司無法直接控管；本計畫將資料收回自有雲端環境並建立權限分級管理（角色與品牌資料範圍分開控管），降低消費者個資外洩與濫用風險，符合個資保護的基本責任。</w:t>
      </w:r>
    </w:p>
    <w:p>
      <w:r>
        <w:rPr>
          <w:rFonts w:eastAsia="Noto Sans TC"/>
          <w:rFonts w:ascii="Noto Sans TC" w:hAnsi="Noto Sans TC"/>
          <w:b/>
          <w:sz w:val="22"/>
        </w:rPr>
        <w:t>⑤ 消費者購物門檻降低（第四階段）</w:t>
      </w:r>
    </w:p>
    <w:p>
      <w:pPr>
        <w:spacing w:before="40" w:after="40"/>
      </w:pPr>
      <w:r>
        <w:rPr>
          <w:rFonts w:eastAsia="Noto Sans TC"/>
          <w:rFonts w:ascii="Noto Sans TC" w:hAnsi="Noto Sans TC"/>
          <w:b w:val="0"/>
          <w:i w:val="0"/>
          <w:sz w:val="22"/>
        </w:rPr>
        <w:t>獨立消費者商城開放後，一般民眾不需先加入經銷體系、不需登入即可瀏覽產品，下單才建立帳號，購物流程更貼近一般電商習慣，擴大健康產品觸及的消費族群，而非僅限於既有經銷網絡內的人。</w:t>
      </w:r>
    </w:p>
    <w:p>
      <w:r>
        <w:rPr>
          <w:rFonts w:eastAsia="Noto Sans TC"/>
          <w:rFonts w:ascii="Noto Sans TC" w:hAnsi="Noto Sans TC"/>
          <w:b/>
          <w:sz w:val="22"/>
        </w:rPr>
        <w:t>⑥ 健康服務加值的基礎（後續延伸）</w:t>
      </w:r>
    </w:p>
    <w:p>
      <w:pPr>
        <w:spacing w:before="40" w:after="40"/>
      </w:pPr>
      <w:r>
        <w:rPr>
          <w:rFonts w:eastAsia="Noto Sans TC"/>
          <w:rFonts w:ascii="Noto Sans TC" w:hAnsi="Noto Sans TC"/>
          <w:b w:val="0"/>
          <w:i w:val="0"/>
          <w:sz w:val="22"/>
        </w:rPr>
        <w:t>診斷報告指出艾琳諾已有自建的客戶健康管理雛型（顧客回報、進度追蹤），本計畫的資料結構與帳號體系將作為未來與健康管理系統整合的基礎，長期可讓消費者的購買紀錄與健康追蹤資料串接，提供更完整的健康服務體驗（非本期範圍，列為未來延伸方向）。</w:t>
      </w:r>
    </w:p>
    <w:p>
      <w:pPr>
        <w:spacing w:before="80" w:after="80"/>
        <w:pBdr>
          <w:bottom w:val="single" w:sz="4" w:space="1" w:color="C0C0C0"/>
        </w:pBdr>
      </w:pPr>
    </w:p>
    <w:p>
      <w:pPr>
        <w:spacing w:before="160" w:after="80"/>
      </w:pPr>
      <w:r>
        <w:rPr>
          <w:rFonts w:eastAsia="Noto Sans TC"/>
          <w:rFonts w:ascii="Noto Sans TC" w:hAnsi="Noto Sans TC"/>
          <w:b/>
          <w:color w:val="1F497D"/>
          <w:sz w:val="28"/>
        </w:rPr>
        <w:t>四、執行方法與期程</w:t>
      </w:r>
    </w:p>
    <w:p>
      <w:pPr>
        <w:spacing w:before="40" w:after="40"/>
      </w:pPr>
      <w:r>
        <w:rPr>
          <w:rFonts w:eastAsia="Noto Sans TC"/>
          <w:rFonts w:ascii="Noto Sans TC" w:hAnsi="Noto Sans TC"/>
          <w:b w:val="0"/>
          <w:i w:val="0"/>
          <w:sz w:val="22"/>
        </w:rPr>
        <w:t>依 MVP 規劃書 v2.0，系統分四階段推進，前一階段穩定運行後才啟動下一階段：</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E2F3"/>
          </w:tcPr>
          <w:p>
            <w:r>
              <w:rPr>
                <w:rFonts w:eastAsia="Noto Sans TC"/>
                <w:rFonts w:ascii="Noto Sans TC" w:hAnsi="Noto Sans TC"/>
                <w:b w:val="0"/>
                <w:sz w:val="20"/>
              </w:rPr>
              <w:t>階段</w:t>
            </w:r>
          </w:p>
        </w:tc>
        <w:tc>
          <w:tcPr>
            <w:tcW w:type="dxa" w:w="2268"/>
            <w:shd w:val="clear" w:color="auto" w:fill="D9E2F3"/>
          </w:tcPr>
          <w:p>
            <w:r>
              <w:rPr>
                <w:rFonts w:eastAsia="Noto Sans TC"/>
                <w:rFonts w:ascii="Noto Sans TC" w:hAnsi="Noto Sans TC"/>
                <w:b w:val="0"/>
                <w:sz w:val="20"/>
              </w:rPr>
              <w:t>內容</w:t>
            </w:r>
          </w:p>
        </w:tc>
        <w:tc>
          <w:tcPr>
            <w:tcW w:type="dxa" w:w="2268"/>
            <w:shd w:val="clear" w:color="auto" w:fill="D9E2F3"/>
          </w:tcPr>
          <w:p>
            <w:r>
              <w:rPr>
                <w:rFonts w:eastAsia="Noto Sans TC"/>
                <w:rFonts w:ascii="Noto Sans TC" w:hAnsi="Noto Sans TC"/>
                <w:b w:val="0"/>
                <w:sz w:val="20"/>
              </w:rPr>
              <w:t>消費者效益對應</w:t>
            </w:r>
          </w:p>
        </w:tc>
        <w:tc>
          <w:tcPr>
            <w:tcW w:type="dxa" w:w="2268"/>
            <w:shd w:val="clear" w:color="auto" w:fill="D9E2F3"/>
          </w:tcPr>
          <w:p>
            <w:r>
              <w:rPr>
                <w:rFonts w:eastAsia="Noto Sans TC"/>
                <w:rFonts w:ascii="Noto Sans TC" w:hAnsi="Noto Sans TC"/>
                <w:b w:val="0"/>
                <w:sz w:val="20"/>
              </w:rPr>
              <w:t>預估期程</w:t>
            </w:r>
          </w:p>
        </w:tc>
      </w:tr>
      <w:tr>
        <w:tc>
          <w:tcPr>
            <w:tcW w:type="dxa" w:w="2268"/>
          </w:tcPr>
          <w:p>
            <w:r>
              <w:rPr>
                <w:rFonts w:eastAsia="Noto Sans TC"/>
                <w:rFonts w:ascii="Noto Sans TC" w:hAnsi="Noto Sans TC"/>
                <w:b w:val="0"/>
                <w:sz w:val="20"/>
              </w:rPr>
            </w:r>
            <w:r>
              <w:rPr>
                <w:rFonts w:eastAsia="Noto Sans TC"/>
                <w:rFonts w:ascii="Noto Sans TC" w:hAnsi="Noto Sans TC"/>
                <w:b/>
                <w:sz w:val="20"/>
              </w:rPr>
              <w:t>P1</w:t>
            </w:r>
            <w:r>
              <w:rPr>
                <w:rFonts w:eastAsia="Noto Sans TC"/>
                <w:rFonts w:ascii="Noto Sans TC" w:hAnsi="Noto Sans TC"/>
                <w:b w:val="0"/>
                <w:sz w:val="20"/>
              </w:rPr>
              <w:t xml:space="preserve"> 公司後台核心</w:t>
            </w:r>
          </w:p>
        </w:tc>
        <w:tc>
          <w:tcPr>
            <w:tcW w:type="dxa" w:w="2268"/>
          </w:tcPr>
          <w:p>
            <w:r>
              <w:rPr>
                <w:rFonts w:eastAsia="Noto Sans TC"/>
                <w:rFonts w:ascii="Noto Sans TC" w:hAnsi="Noto Sans TC"/>
                <w:b w:val="0"/>
                <w:sz w:val="20"/>
              </w:rPr>
              <w:t>帳號權限、雙品牌管理、經銷商帳號、產品目錄、點數總帳、訂單／庫存／出貨／報表稽核（10 個模組）</w:t>
            </w:r>
          </w:p>
        </w:tc>
        <w:tc>
          <w:tcPr>
            <w:tcW w:type="dxa" w:w="2268"/>
          </w:tcPr>
          <w:p>
            <w:r>
              <w:rPr>
                <w:rFonts w:eastAsia="Noto Sans TC"/>
                <w:rFonts w:ascii="Noto Sans TC" w:hAnsi="Noto Sans TC"/>
                <w:b w:val="0"/>
                <w:sz w:val="20"/>
              </w:rPr>
              <w:t>建立可稽核、規則一致的資料基礎，是後續消費者自助服務的前提</w:t>
            </w:r>
          </w:p>
        </w:tc>
        <w:tc>
          <w:tcPr>
            <w:tcW w:type="dxa" w:w="2268"/>
          </w:tcPr>
          <w:p>
            <w:r>
              <w:rPr>
                <w:rFonts w:eastAsia="Noto Sans TC"/>
                <w:rFonts w:ascii="Noto Sans TC" w:hAnsi="Noto Sans TC"/>
                <w:b w:val="0"/>
                <w:sz w:val="20"/>
              </w:rPr>
              <w:t>約第 1–8 週</w:t>
            </w:r>
          </w:p>
        </w:tc>
      </w:tr>
      <w:tr>
        <w:tc>
          <w:tcPr>
            <w:tcW w:type="dxa" w:w="2268"/>
          </w:tcPr>
          <w:p>
            <w:r>
              <w:rPr>
                <w:rFonts w:eastAsia="Noto Sans TC"/>
                <w:rFonts w:ascii="Noto Sans TC" w:hAnsi="Noto Sans TC"/>
                <w:b w:val="0"/>
                <w:sz w:val="20"/>
              </w:rPr>
            </w:r>
            <w:r>
              <w:rPr>
                <w:rFonts w:eastAsia="Noto Sans TC"/>
                <w:rFonts w:ascii="Noto Sans TC" w:hAnsi="Noto Sans TC"/>
                <w:b/>
                <w:sz w:val="20"/>
              </w:rPr>
              <w:t>P2</w:t>
            </w:r>
            <w:r>
              <w:rPr>
                <w:rFonts w:eastAsia="Noto Sans TC"/>
                <w:rFonts w:ascii="Noto Sans TC" w:hAnsi="Noto Sans TC"/>
                <w:b w:val="0"/>
                <w:sz w:val="20"/>
              </w:rPr>
              <w:t xml:space="preserve"> A 品牌前台＋自動化</w:t>
            </w:r>
          </w:p>
        </w:tc>
        <w:tc>
          <w:tcPr>
            <w:tcW w:type="dxa" w:w="2268"/>
          </w:tcPr>
          <w:p>
            <w:r>
              <w:rPr>
                <w:rFonts w:eastAsia="Noto Sans TC"/>
                <w:rFonts w:ascii="Noto Sans TC" w:hAnsi="Noto Sans TC"/>
                <w:b w:val="0"/>
                <w:sz w:val="20"/>
              </w:rPr>
              <w:t>經銷商自助登入、玉山金流自動入點、購物車式提貨申請、等級自動升級、LINE／Email 通知（8 個模組）</w:t>
            </w:r>
          </w:p>
        </w:tc>
        <w:tc>
          <w:tcPr>
            <w:tcW w:type="dxa" w:w="2268"/>
          </w:tcPr>
          <w:p>
            <w:r>
              <w:rPr>
                <w:rFonts w:eastAsia="Noto Sans TC"/>
                <w:rFonts w:ascii="Noto Sans TC" w:hAnsi="Noto Sans TC"/>
                <w:b w:val="0"/>
                <w:sz w:val="20"/>
              </w:rPr>
              <w:t>消費者／經銷商首次獲得自助查詢與即時金流認列能力</w:t>
            </w:r>
          </w:p>
        </w:tc>
        <w:tc>
          <w:tcPr>
            <w:tcW w:type="dxa" w:w="2268"/>
          </w:tcPr>
          <w:p>
            <w:r>
              <w:rPr>
                <w:rFonts w:eastAsia="Noto Sans TC"/>
                <w:rFonts w:ascii="Noto Sans TC" w:hAnsi="Noto Sans TC"/>
                <w:b w:val="0"/>
                <w:sz w:val="20"/>
              </w:rPr>
              <w:t>約第 9–16 週</w:t>
            </w:r>
          </w:p>
        </w:tc>
      </w:tr>
      <w:tr>
        <w:tc>
          <w:tcPr>
            <w:tcW w:type="dxa" w:w="2268"/>
          </w:tcPr>
          <w:p>
            <w:r>
              <w:rPr>
                <w:rFonts w:eastAsia="Noto Sans TC"/>
                <w:rFonts w:ascii="Noto Sans TC" w:hAnsi="Noto Sans TC"/>
                <w:b w:val="0"/>
                <w:sz w:val="20"/>
              </w:rPr>
            </w:r>
            <w:r>
              <w:rPr>
                <w:rFonts w:eastAsia="Noto Sans TC"/>
                <w:rFonts w:ascii="Noto Sans TC" w:hAnsi="Noto Sans TC"/>
                <w:b/>
                <w:sz w:val="20"/>
              </w:rPr>
              <w:t>P3</w:t>
            </w:r>
            <w:r>
              <w:rPr>
                <w:rFonts w:eastAsia="Noto Sans TC"/>
                <w:rFonts w:ascii="Noto Sans TC" w:hAnsi="Noto Sans TC"/>
                <w:b w:val="0"/>
                <w:sz w:val="20"/>
              </w:rPr>
              <w:t xml:space="preserve"> 資料匯入與整理</w:t>
            </w:r>
          </w:p>
        </w:tc>
        <w:tc>
          <w:tcPr>
            <w:tcW w:type="dxa" w:w="2268"/>
          </w:tcPr>
          <w:p>
            <w:r>
              <w:rPr>
                <w:rFonts w:eastAsia="Noto Sans TC"/>
                <w:rFonts w:ascii="Noto Sans TC" w:hAnsi="Noto Sans TC"/>
                <w:b w:val="0"/>
                <w:sz w:val="20"/>
              </w:rPr>
              <w:t>Excel 匯入匯出工具、15 年舊資料整理進獨立資料倉儲</w:t>
            </w:r>
          </w:p>
        </w:tc>
        <w:tc>
          <w:tcPr>
            <w:tcW w:type="dxa" w:w="2268"/>
          </w:tcPr>
          <w:p>
            <w:r>
              <w:rPr>
                <w:rFonts w:eastAsia="Noto Sans TC"/>
                <w:rFonts w:ascii="Noto Sans TC" w:hAnsi="Noto Sans TC"/>
                <w:b w:val="0"/>
                <w:sz w:val="20"/>
              </w:rPr>
              <w:t>確保歷史消費紀錄不遺失、可被安全調閱</w:t>
            </w:r>
          </w:p>
        </w:tc>
        <w:tc>
          <w:tcPr>
            <w:tcW w:type="dxa" w:w="2268"/>
          </w:tcPr>
          <w:p>
            <w:r>
              <w:rPr>
                <w:rFonts w:eastAsia="Noto Sans TC"/>
                <w:rFonts w:ascii="Noto Sans TC" w:hAnsi="Noto Sans TC"/>
                <w:b w:val="0"/>
                <w:sz w:val="20"/>
              </w:rPr>
              <w:t>約第 17–18 週</w:t>
            </w:r>
          </w:p>
        </w:tc>
      </w:tr>
      <w:tr>
        <w:tc>
          <w:tcPr>
            <w:tcW w:type="dxa" w:w="2268"/>
          </w:tcPr>
          <w:p>
            <w:r>
              <w:rPr>
                <w:rFonts w:eastAsia="Noto Sans TC"/>
                <w:rFonts w:ascii="Noto Sans TC" w:hAnsi="Noto Sans TC"/>
                <w:b w:val="0"/>
                <w:sz w:val="20"/>
              </w:rPr>
            </w:r>
            <w:r>
              <w:rPr>
                <w:rFonts w:eastAsia="Noto Sans TC"/>
                <w:rFonts w:ascii="Noto Sans TC" w:hAnsi="Noto Sans TC"/>
                <w:b/>
                <w:sz w:val="20"/>
              </w:rPr>
              <w:t>P4</w:t>
            </w:r>
            <w:r>
              <w:rPr>
                <w:rFonts w:eastAsia="Noto Sans TC"/>
                <w:rFonts w:ascii="Noto Sans TC" w:hAnsi="Noto Sans TC"/>
                <w:b w:val="0"/>
                <w:sz w:val="20"/>
              </w:rPr>
              <w:t xml:space="preserve"> 消費者商城</w:t>
            </w:r>
          </w:p>
        </w:tc>
        <w:tc>
          <w:tcPr>
            <w:tcW w:type="dxa" w:w="2268"/>
          </w:tcPr>
          <w:p>
            <w:r>
              <w:rPr>
                <w:rFonts w:eastAsia="Noto Sans TC"/>
                <w:rFonts w:ascii="Noto Sans TC" w:hAnsi="Noto Sans TC"/>
                <w:b w:val="0"/>
                <w:sz w:val="20"/>
              </w:rPr>
              <w:t>獨立商城入口、消費者自助下單（不需登入即可瀏覽）</w:t>
            </w:r>
          </w:p>
        </w:tc>
        <w:tc>
          <w:tcPr>
            <w:tcW w:type="dxa" w:w="2268"/>
          </w:tcPr>
          <w:p>
            <w:r>
              <w:rPr>
                <w:rFonts w:eastAsia="Noto Sans TC"/>
                <w:rFonts w:ascii="Noto Sans TC" w:hAnsi="Noto Sans TC"/>
                <w:b w:val="0"/>
                <w:sz w:val="20"/>
              </w:rPr>
              <w:t>直接服務終端消費者，購物門檻降低、訂單自動歸屬</w:t>
            </w:r>
          </w:p>
        </w:tc>
        <w:tc>
          <w:tcPr>
            <w:tcW w:type="dxa" w:w="2268"/>
          </w:tcPr>
          <w:p>
            <w:r>
              <w:rPr>
                <w:rFonts w:eastAsia="Noto Sans TC"/>
                <w:rFonts w:ascii="Noto Sans TC" w:hAnsi="Noto Sans TC"/>
                <w:b w:val="0"/>
                <w:sz w:val="20"/>
              </w:rPr>
              <w:t>約第 19–21 週</w:t>
            </w:r>
          </w:p>
        </w:tc>
      </w:tr>
    </w:tbl>
    <w:p/>
    <w:p>
      <w:pPr>
        <w:spacing w:before="40" w:after="40"/>
      </w:pPr>
      <w:r>
        <w:rPr>
          <w:rFonts w:eastAsia="Noto Sans TC"/>
          <w:rFonts w:ascii="Noto Sans TC" w:hAnsi="Noto Sans TC"/>
          <w:b w:val="0"/>
          <w:i w:val="0"/>
          <w:sz w:val="22"/>
        </w:rPr>
        <w:t>全案約 21 週（不含前期制度文件化與資料控制權取回作業）。</w:t>
      </w:r>
    </w:p>
    <w:p>
      <w:pPr>
        <w:spacing w:before="80" w:after="80"/>
        <w:pBdr>
          <w:bottom w:val="single" w:sz="4" w:space="1" w:color="C0C0C0"/>
        </w:pBdr>
      </w:pPr>
    </w:p>
    <w:p>
      <w:pPr>
        <w:spacing w:before="160" w:after="80"/>
      </w:pPr>
      <w:r>
        <w:rPr>
          <w:rFonts w:eastAsia="Noto Sans TC"/>
          <w:rFonts w:ascii="Noto Sans TC" w:hAnsi="Noto Sans TC"/>
          <w:b/>
          <w:color w:val="1F497D"/>
          <w:sz w:val="28"/>
        </w:rPr>
        <w:t>五、預期效益與 KPI</w:t>
      </w:r>
    </w:p>
    <w:p>
      <w:pPr>
        <w:spacing w:before="160" w:after="80"/>
      </w:pPr>
      <w:r>
        <w:rPr>
          <w:rFonts w:eastAsia="Noto Sans TC"/>
          <w:rFonts w:ascii="Noto Sans TC" w:hAnsi="Noto Sans TC"/>
          <w:b/>
          <w:color w:val="4472C4"/>
          <w:sz w:val="24"/>
        </w:rPr>
        <w:t>量化效益（企業內部保守估算，Phase 1+2+3，總投資約 NT$929,300）</w:t>
      </w:r>
    </w:p>
    <w:p>
      <w:pPr>
        <w:pStyle w:val="ListBullet"/>
        <w:spacing w:before="20" w:after="20"/>
        <w:ind w:left="360"/>
      </w:pPr>
      <w:r>
        <w:rPr>
          <w:rFonts w:eastAsia="Noto Sans TC"/>
          <w:rFonts w:ascii="Noto Sans TC" w:hAnsi="Noto Sans TC"/>
          <w:b w:val="0"/>
          <w:sz w:val="22"/>
        </w:rPr>
        <w:t>人力成本節省：約 NT$32,400／月（含點數錯誤風險降低約 NT$2,000+／月）</w:t>
      </w:r>
    </w:p>
    <w:p>
      <w:pPr>
        <w:pStyle w:val="ListBullet"/>
        <w:spacing w:before="20" w:after="20"/>
        <w:ind w:left="360"/>
      </w:pPr>
      <w:r>
        <w:rPr>
          <w:rFonts w:eastAsia="Noto Sans TC"/>
          <w:rFonts w:ascii="Noto Sans TC" w:hAnsi="Noto Sans TC"/>
          <w:b w:val="0"/>
          <w:sz w:val="22"/>
        </w:rPr>
        <w:t>導入自助查詢後喚醒沉睡經銷商業績增量：約 NT$90,000／月（保守估）</w:t>
      </w:r>
    </w:p>
    <w:p>
      <w:pPr>
        <w:pStyle w:val="ListBullet"/>
        <w:spacing w:before="20" w:after="20"/>
        <w:ind w:left="360"/>
      </w:pPr>
      <w:r>
        <w:rPr>
          <w:rFonts w:eastAsia="Noto Sans TC"/>
          <w:rFonts w:ascii="Noto Sans TC" w:hAnsi="Noto Sans TC"/>
          <w:b w:val="0"/>
          <w:sz w:val="22"/>
        </w:rPr>
        <w:t>雙層效益合計回本期限：約 7–8 個月（若僅計人力成本節省，則約 29 個月）</w:t>
      </w:r>
    </w:p>
    <w:p>
      <w:pPr>
        <w:spacing w:before="80" w:after="80"/>
        <w:ind w:left="576"/>
        <w:pBdr>
          <w:left w:val="single" w:sz="6" w:space="12" w:color="4472C4"/>
        </w:pBdr>
      </w:pPr>
      <w:r>
        <w:rPr>
          <w:rFonts w:eastAsia="Noto Sans TC"/>
          <w:rFonts w:ascii="Noto Sans TC" w:hAnsi="Noto Sans TC"/>
          <w:b w:val="0"/>
          <w:i/>
          <w:color w:val="464646"/>
          <w:sz w:val="22"/>
        </w:rPr>
        <w:t>上述金額為企業內部試算，非官方審計數字，正式送件時建議由顧問協助轉換為補助案要求之效益衡量格式（如成本節省率、服務時效改善率等）。</w:t>
      </w:r>
    </w:p>
    <w:p>
      <w:pPr>
        <w:spacing w:before="160" w:after="80"/>
      </w:pPr>
      <w:r>
        <w:rPr>
          <w:rFonts w:eastAsia="Noto Sans TC"/>
          <w:rFonts w:ascii="Noto Sans TC" w:hAnsi="Noto Sans TC"/>
          <w:b/>
          <w:color w:val="4472C4"/>
          <w:sz w:val="24"/>
        </w:rPr>
        <w:t>消費者導向 KPI（建議補助案可採用的效益指標）</w:t>
      </w:r>
    </w:p>
    <w:p>
      <w:pPr>
        <w:pStyle w:val="ListBullet"/>
        <w:spacing w:before="20" w:after="20"/>
        <w:ind w:left="360"/>
      </w:pPr>
      <w:r>
        <w:rPr>
          <w:rFonts w:eastAsia="Noto Sans TC"/>
          <w:rFonts w:ascii="Noto Sans TC" w:hAnsi="Noto Sans TC"/>
          <w:b w:val="0"/>
          <w:sz w:val="22"/>
        </w:rPr>
        <w:t>提貨進度查詢由「人工回報」轉為「自助即時查詢」，回應時間由不定時等待縮短至即時</w:t>
      </w:r>
    </w:p>
    <w:p>
      <w:pPr>
        <w:pStyle w:val="ListBullet"/>
        <w:spacing w:before="20" w:after="20"/>
        <w:ind w:left="360"/>
      </w:pPr>
      <w:r>
        <w:rPr>
          <w:rFonts w:eastAsia="Noto Sans TC"/>
          <w:rFonts w:ascii="Noto Sans TC" w:hAnsi="Noto Sans TC"/>
          <w:b w:val="0"/>
          <w:sz w:val="22"/>
        </w:rPr>
        <w:t>儲值入帳時間由人工作業（常需數小時至次日）縮短為 Webhook 即時入帳</w:t>
      </w:r>
    </w:p>
    <w:p>
      <w:pPr>
        <w:pStyle w:val="ListBullet"/>
        <w:spacing w:before="20" w:after="20"/>
        <w:ind w:left="360"/>
      </w:pPr>
      <w:r>
        <w:rPr>
          <w:rFonts w:eastAsia="Noto Sans TC"/>
          <w:rFonts w:ascii="Noto Sans TC" w:hAnsi="Noto Sans TC"/>
          <w:b w:val="0"/>
          <w:sz w:val="22"/>
        </w:rPr>
        <w:t>退換貨處理規則系統化比例：由口頭個案處理 → 100% 系統留稽核紀錄</w:t>
      </w:r>
    </w:p>
    <w:p>
      <w:pPr>
        <w:pStyle w:val="ListBullet"/>
        <w:spacing w:before="20" w:after="20"/>
        <w:ind w:left="360"/>
      </w:pPr>
      <w:r>
        <w:rPr>
          <w:rFonts w:eastAsia="Noto Sans TC"/>
          <w:rFonts w:ascii="Noto Sans TC" w:hAnsi="Noto Sans TC"/>
          <w:b w:val="0"/>
          <w:sz w:val="22"/>
        </w:rPr>
        <w:t>個資存取控管：客戶資料庫由第三方個人主機收回至公司自有、權限分級管理之雲端環境</w:t>
      </w:r>
    </w:p>
    <w:p>
      <w:pPr>
        <w:pStyle w:val="ListBullet"/>
        <w:spacing w:before="20" w:after="20"/>
        <w:ind w:left="360"/>
      </w:pPr>
      <w:r>
        <w:rPr>
          <w:rFonts w:eastAsia="Noto Sans TC"/>
          <w:rFonts w:ascii="Noto Sans TC" w:hAnsi="Noto Sans TC"/>
          <w:b w:val="0"/>
          <w:sz w:val="22"/>
        </w:rPr>
        <w:t>第四階段上線後，新增非經銷網絡內之終端消費者觸及人數（商城獨立訪客／下單數）</w:t>
      </w:r>
    </w:p>
    <w:p>
      <w:pPr>
        <w:spacing w:before="80" w:after="80"/>
        <w:pBdr>
          <w:bottom w:val="single" w:sz="4" w:space="1" w:color="C0C0C0"/>
        </w:pBdr>
      </w:pPr>
    </w:p>
    <w:p>
      <w:pPr>
        <w:spacing w:before="160" w:after="80"/>
      </w:pPr>
      <w:r>
        <w:rPr>
          <w:rFonts w:eastAsia="Noto Sans TC"/>
          <w:rFonts w:ascii="Noto Sans TC" w:hAnsi="Noto Sans TC"/>
          <w:b/>
          <w:color w:val="1F497D"/>
          <w:sz w:val="28"/>
        </w:rPr>
        <w:t>六、經費需求概估</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r>
              <w:rPr>
                <w:rFonts w:eastAsia="Noto Sans TC"/>
                <w:rFonts w:ascii="Noto Sans TC" w:hAnsi="Noto Sans TC"/>
                <w:b w:val="0"/>
                <w:sz w:val="20"/>
              </w:rPr>
              <w:t>項目</w:t>
            </w:r>
          </w:p>
        </w:tc>
        <w:tc>
          <w:tcPr>
            <w:tcW w:type="dxa" w:w="3024"/>
            <w:shd w:val="clear" w:color="auto" w:fill="D9E2F3"/>
          </w:tcPr>
          <w:p>
            <w:r>
              <w:rPr>
                <w:rFonts w:eastAsia="Noto Sans TC"/>
                <w:rFonts w:ascii="Noto Sans TC" w:hAnsi="Noto Sans TC"/>
                <w:b w:val="0"/>
                <w:sz w:val="20"/>
              </w:rPr>
              <w:t>概估金額（NT$）</w:t>
            </w:r>
          </w:p>
        </w:tc>
        <w:tc>
          <w:tcPr>
            <w:tcW w:type="dxa" w:w="3024"/>
            <w:shd w:val="clear" w:color="auto" w:fill="D9E2F3"/>
          </w:tcPr>
          <w:p>
            <w:r>
              <w:rPr>
                <w:rFonts w:eastAsia="Noto Sans TC"/>
                <w:rFonts w:ascii="Noto Sans TC" w:hAnsi="Noto Sans TC"/>
                <w:b w:val="0"/>
                <w:sz w:val="20"/>
              </w:rPr>
              <w:t>說明</w:t>
            </w:r>
          </w:p>
        </w:tc>
      </w:tr>
      <w:tr>
        <w:tc>
          <w:tcPr>
            <w:tcW w:type="dxa" w:w="3024"/>
          </w:tcPr>
          <w:p>
            <w:r>
              <w:rPr>
                <w:rFonts w:eastAsia="Noto Sans TC"/>
                <w:rFonts w:ascii="Noto Sans TC" w:hAnsi="Noto Sans TC"/>
                <w:b w:val="0"/>
                <w:sz w:val="20"/>
              </w:rPr>
              <w:t>Phase 1（公司後台核心）</w:t>
            </w:r>
          </w:p>
        </w:tc>
        <w:tc>
          <w:tcPr>
            <w:tcW w:type="dxa" w:w="3024"/>
          </w:tcPr>
          <w:p>
            <w:r>
              <w:rPr>
                <w:rFonts w:eastAsia="Noto Sans TC"/>
                <w:rFonts w:ascii="Noto Sans TC" w:hAnsi="Noto Sans TC"/>
                <w:b w:val="0"/>
                <w:sz w:val="20"/>
              </w:rPr>
              <w:t>依報價單</w:t>
            </w:r>
          </w:p>
        </w:tc>
        <w:tc>
          <w:tcPr>
            <w:tcW w:type="dxa" w:w="3024"/>
          </w:tcPr>
          <w:p>
            <w:r>
              <w:rPr>
                <w:rFonts w:eastAsia="Noto Sans TC"/>
                <w:rFonts w:ascii="Noto Sans TC" w:hAnsi="Noto Sans TC"/>
                <w:b w:val="0"/>
                <w:sz w:val="20"/>
              </w:rPr>
              <w:t>10 個模組</w:t>
            </w:r>
          </w:p>
        </w:tc>
      </w:tr>
      <w:tr>
        <w:tc>
          <w:tcPr>
            <w:tcW w:type="dxa" w:w="3024"/>
          </w:tcPr>
          <w:p>
            <w:r>
              <w:rPr>
                <w:rFonts w:eastAsia="Noto Sans TC"/>
                <w:rFonts w:ascii="Noto Sans TC" w:hAnsi="Noto Sans TC"/>
                <w:b w:val="0"/>
                <w:sz w:val="20"/>
              </w:rPr>
              <w:t>Phase 2（A 品牌前台＋自動化）</w:t>
            </w:r>
          </w:p>
        </w:tc>
        <w:tc>
          <w:tcPr>
            <w:tcW w:type="dxa" w:w="3024"/>
          </w:tcPr>
          <w:p>
            <w:r>
              <w:rPr>
                <w:rFonts w:eastAsia="Noto Sans TC"/>
                <w:rFonts w:ascii="Noto Sans TC" w:hAnsi="Noto Sans TC"/>
                <w:b w:val="0"/>
                <w:sz w:val="20"/>
              </w:rPr>
              <w:t>依報價單</w:t>
            </w:r>
          </w:p>
        </w:tc>
        <w:tc>
          <w:tcPr>
            <w:tcW w:type="dxa" w:w="3024"/>
          </w:tcPr>
          <w:p>
            <w:r>
              <w:rPr>
                <w:rFonts w:eastAsia="Noto Sans TC"/>
                <w:rFonts w:ascii="Noto Sans TC" w:hAnsi="Noto Sans TC"/>
                <w:b w:val="0"/>
                <w:sz w:val="20"/>
              </w:rPr>
              <w:t>8 個模組</w:t>
            </w:r>
          </w:p>
        </w:tc>
      </w:tr>
      <w:tr>
        <w:tc>
          <w:tcPr>
            <w:tcW w:type="dxa" w:w="3024"/>
          </w:tcPr>
          <w:p>
            <w:r>
              <w:rPr>
                <w:rFonts w:eastAsia="Noto Sans TC"/>
                <w:rFonts w:ascii="Noto Sans TC" w:hAnsi="Noto Sans TC"/>
                <w:b w:val="0"/>
                <w:sz w:val="20"/>
              </w:rPr>
              <w:t>Phase 3（資料匯入與整理）</w:t>
            </w:r>
          </w:p>
        </w:tc>
        <w:tc>
          <w:tcPr>
            <w:tcW w:type="dxa" w:w="3024"/>
          </w:tcPr>
          <w:p>
            <w:r>
              <w:rPr>
                <w:rFonts w:eastAsia="Noto Sans TC"/>
                <w:rFonts w:ascii="Noto Sans TC" w:hAnsi="Noto Sans TC"/>
                <w:b w:val="0"/>
                <w:sz w:val="20"/>
              </w:rPr>
              <w:t>依報價單</w:t>
            </w:r>
          </w:p>
        </w:tc>
        <w:tc>
          <w:tcPr>
            <w:tcW w:type="dxa" w:w="3024"/>
          </w:tcPr>
          <w:p>
            <w:r>
              <w:rPr>
                <w:rFonts w:eastAsia="Noto Sans TC"/>
                <w:rFonts w:ascii="Noto Sans TC" w:hAnsi="Noto Sans TC"/>
                <w:b w:val="0"/>
                <w:sz w:val="20"/>
              </w:rPr>
              <w:t>2 個模組</w:t>
            </w:r>
          </w:p>
        </w:tc>
      </w:tr>
      <w:tr>
        <w:tc>
          <w:tcPr>
            <w:tcW w:type="dxa" w:w="3024"/>
          </w:tcPr>
          <w:p>
            <w:r>
              <w:rPr>
                <w:rFonts w:eastAsia="Noto Sans TC"/>
                <w:rFonts w:ascii="Noto Sans TC" w:hAnsi="Noto Sans TC"/>
                <w:b w:val="0"/>
                <w:sz w:val="20"/>
              </w:rPr>
              <w:t>Phase 1+2+3 合計</w:t>
            </w:r>
          </w:p>
        </w:tc>
        <w:tc>
          <w:tcPr>
            <w:tcW w:type="dxa" w:w="3024"/>
          </w:tcPr>
          <w:p>
            <w:r>
              <w:rPr>
                <w:rFonts w:eastAsia="Noto Sans TC"/>
                <w:rFonts w:ascii="Noto Sans TC" w:hAnsi="Noto Sans TC"/>
                <w:b w:val="0"/>
                <w:sz w:val="20"/>
              </w:rPr>
              <w:t>約 929,300</w:t>
            </w:r>
          </w:p>
        </w:tc>
        <w:tc>
          <w:tcPr>
            <w:tcW w:type="dxa" w:w="3024"/>
          </w:tcPr>
          <w:p>
            <w:r>
              <w:rPr>
                <w:rFonts w:eastAsia="Noto Sans TC"/>
                <w:rFonts w:ascii="Noto Sans TC" w:hAnsi="Noto Sans TC"/>
                <w:b w:val="0"/>
                <w:sz w:val="20"/>
              </w:rPr>
              <w:t>企業內部估算總投資</w:t>
            </w:r>
          </w:p>
        </w:tc>
      </w:tr>
      <w:tr>
        <w:tc>
          <w:tcPr>
            <w:tcW w:type="dxa" w:w="3024"/>
          </w:tcPr>
          <w:p>
            <w:r>
              <w:rPr>
                <w:rFonts w:eastAsia="Noto Sans TC"/>
                <w:rFonts w:ascii="Noto Sans TC" w:hAnsi="Noto Sans TC"/>
                <w:b w:val="0"/>
                <w:sz w:val="20"/>
              </w:rPr>
              <w:t>Phase 4（消費者商城）</w:t>
            </w:r>
          </w:p>
        </w:tc>
        <w:tc>
          <w:tcPr>
            <w:tcW w:type="dxa" w:w="3024"/>
          </w:tcPr>
          <w:p>
            <w:r>
              <w:rPr>
                <w:rFonts w:eastAsia="Noto Sans TC"/>
                <w:rFonts w:ascii="Noto Sans TC" w:hAnsi="Noto Sans TC"/>
                <w:b w:val="0"/>
                <w:sz w:val="20"/>
              </w:rPr>
              <w:t>另計</w:t>
            </w:r>
          </w:p>
        </w:tc>
        <w:tc>
          <w:tcPr>
            <w:tcW w:type="dxa" w:w="3024"/>
          </w:tcPr>
          <w:p>
            <w:r>
              <w:rPr>
                <w:rFonts w:eastAsia="Noto Sans TC"/>
                <w:rFonts w:ascii="Noto Sans TC" w:hAnsi="Noto Sans TC"/>
                <w:b w:val="0"/>
                <w:sz w:val="20"/>
              </w:rPr>
              <w:t>業務規模成熟後啟動，2 個模組</w:t>
            </w:r>
          </w:p>
        </w:tc>
      </w:tr>
    </w:tbl>
    <w:p/>
    <w:p>
      <w:pPr>
        <w:spacing w:before="80" w:after="80"/>
        <w:ind w:left="576"/>
        <w:pBdr>
          <w:left w:val="single" w:sz="6" w:space="12" w:color="4472C4"/>
        </w:pBdr>
      </w:pPr>
      <w:r>
        <w:rPr>
          <w:rFonts w:eastAsia="Noto Sans TC"/>
          <w:rFonts w:ascii="Noto Sans TC" w:hAnsi="Noto Sans TC"/>
          <w:b w:val="0"/>
          <w:i/>
          <w:color w:val="464646"/>
          <w:sz w:val="22"/>
        </w:rPr>
        <w:t>精確金額請以正式報價單（附件二：艾琳諾_報價單_QT-ELEANOR-2026-001）為準，補助案申請金額範圍需由顧問依所選補助方案規則協助界定（如是否可申請全額、部分自籌比例等）。</w:t>
      </w:r>
    </w:p>
    <w:p>
      <w:pPr>
        <w:spacing w:before="80" w:after="80"/>
        <w:pBdr>
          <w:bottom w:val="single" w:sz="4" w:space="1" w:color="C0C0C0"/>
        </w:pBdr>
      </w:pPr>
    </w:p>
    <w:p>
      <w:pPr>
        <w:spacing w:before="160" w:after="80"/>
      </w:pPr>
      <w:r>
        <w:rPr>
          <w:rFonts w:eastAsia="Noto Sans TC"/>
          <w:rFonts w:ascii="Noto Sans TC" w:hAnsi="Noto Sans TC"/>
          <w:b/>
          <w:color w:val="1F497D"/>
          <w:sz w:val="28"/>
        </w:rPr>
        <w:t>七、風險與因應</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r>
              <w:rPr>
                <w:rFonts w:eastAsia="Noto Sans TC"/>
                <w:rFonts w:ascii="Noto Sans TC" w:hAnsi="Noto Sans TC"/>
                <w:b w:val="0"/>
                <w:sz w:val="20"/>
              </w:rPr>
              <w:t>風險</w:t>
            </w:r>
          </w:p>
        </w:tc>
        <w:tc>
          <w:tcPr>
            <w:tcW w:type="dxa" w:w="3024"/>
            <w:shd w:val="clear" w:color="auto" w:fill="D9E2F3"/>
          </w:tcPr>
          <w:p>
            <w:r>
              <w:rPr>
                <w:rFonts w:eastAsia="Noto Sans TC"/>
                <w:rFonts w:ascii="Noto Sans TC" w:hAnsi="Noto Sans TC"/>
                <w:b w:val="0"/>
                <w:sz w:val="20"/>
              </w:rPr>
              <w:t>說明</w:t>
            </w:r>
          </w:p>
        </w:tc>
        <w:tc>
          <w:tcPr>
            <w:tcW w:type="dxa" w:w="3024"/>
            <w:shd w:val="clear" w:color="auto" w:fill="D9E2F3"/>
          </w:tcPr>
          <w:p>
            <w:r>
              <w:rPr>
                <w:rFonts w:eastAsia="Noto Sans TC"/>
                <w:rFonts w:ascii="Noto Sans TC" w:hAnsi="Noto Sans TC"/>
                <w:b w:val="0"/>
                <w:sz w:val="20"/>
              </w:rPr>
              <w:t>因應方式</w:t>
            </w:r>
          </w:p>
        </w:tc>
      </w:tr>
      <w:tr>
        <w:tc>
          <w:tcPr>
            <w:tcW w:type="dxa" w:w="3024"/>
          </w:tcPr>
          <w:p>
            <w:r>
              <w:rPr>
                <w:rFonts w:eastAsia="Noto Sans TC"/>
                <w:rFonts w:ascii="Noto Sans TC" w:hAnsi="Noto Sans TC"/>
                <w:b w:val="0"/>
                <w:sz w:val="20"/>
              </w:rPr>
              <w:t>制度未文件化就上系統</w:t>
            </w:r>
          </w:p>
        </w:tc>
        <w:tc>
          <w:tcPr>
            <w:tcW w:type="dxa" w:w="3024"/>
          </w:tcPr>
          <w:p>
            <w:r>
              <w:rPr>
                <w:rFonts w:eastAsia="Noto Sans TC"/>
                <w:rFonts w:ascii="Noto Sans TC" w:hAnsi="Noto Sans TC"/>
                <w:b w:val="0"/>
                <w:sz w:val="20"/>
              </w:rPr>
              <w:t>佣金與例外規則若未先制度化，系統開發中需求會反覆變動</w:t>
            </w:r>
          </w:p>
        </w:tc>
        <w:tc>
          <w:tcPr>
            <w:tcW w:type="dxa" w:w="3024"/>
          </w:tcPr>
          <w:p>
            <w:r>
              <w:rPr>
                <w:rFonts w:eastAsia="Noto Sans TC"/>
                <w:rFonts w:ascii="Noto Sans TC" w:hAnsi="Noto Sans TC"/>
                <w:b w:val="0"/>
                <w:sz w:val="20"/>
              </w:rPr>
              <w:t>先完成 P0（資料控制權取回）、P1 制度文件化，再進入系統開發（詳診斷報告建議路徑）</w:t>
            </w:r>
          </w:p>
        </w:tc>
      </w:tr>
      <w:tr>
        <w:tc>
          <w:tcPr>
            <w:tcW w:type="dxa" w:w="3024"/>
          </w:tcPr>
          <w:p>
            <w:r>
              <w:rPr>
                <w:rFonts w:eastAsia="Noto Sans TC"/>
                <w:rFonts w:ascii="Noto Sans TC" w:hAnsi="Noto Sans TC"/>
                <w:b w:val="0"/>
                <w:sz w:val="20"/>
              </w:rPr>
              <w:t>資料流失風險</w:t>
            </w:r>
          </w:p>
        </w:tc>
        <w:tc>
          <w:tcPr>
            <w:tcW w:type="dxa" w:w="3024"/>
          </w:tcPr>
          <w:p>
            <w:r>
              <w:rPr>
                <w:rFonts w:eastAsia="Noto Sans TC"/>
                <w:rFonts w:ascii="Noto Sans TC" w:hAnsi="Noto Sans TC"/>
                <w:b w:val="0"/>
                <w:sz w:val="20"/>
              </w:rPr>
              <w:t>現有資料庫在第三方個人主機</w:t>
            </w:r>
          </w:p>
        </w:tc>
        <w:tc>
          <w:tcPr>
            <w:tcW w:type="dxa" w:w="3024"/>
          </w:tcPr>
          <w:p>
            <w:r>
              <w:rPr>
                <w:rFonts w:eastAsia="Noto Sans TC"/>
                <w:rFonts w:ascii="Noto Sans TC" w:hAnsi="Noto Sans TC"/>
                <w:b w:val="0"/>
                <w:sz w:val="20"/>
              </w:rPr>
              <w:t>優先取得備份、建立公司自有儲存空間，為本計畫 P0 前置作業</w:t>
            </w:r>
          </w:p>
        </w:tc>
      </w:tr>
      <w:tr>
        <w:tc>
          <w:tcPr>
            <w:tcW w:type="dxa" w:w="3024"/>
          </w:tcPr>
          <w:p>
            <w:r>
              <w:rPr>
                <w:rFonts w:eastAsia="Noto Sans TC"/>
                <w:rFonts w:ascii="Noto Sans TC" w:hAnsi="Noto Sans TC"/>
                <w:b w:val="0"/>
                <w:sz w:val="20"/>
              </w:rPr>
              <w:t>消費者／經銷商使用適應期</w:t>
            </w:r>
          </w:p>
        </w:tc>
        <w:tc>
          <w:tcPr>
            <w:tcW w:type="dxa" w:w="3024"/>
          </w:tcPr>
          <w:p>
            <w:r>
              <w:rPr>
                <w:rFonts w:eastAsia="Noto Sans TC"/>
                <w:rFonts w:ascii="Noto Sans TC" w:hAnsi="Noto Sans TC"/>
                <w:b w:val="0"/>
                <w:sz w:val="20"/>
              </w:rPr>
              <w:t>年長經銷商對新系統可能有抵觸</w:t>
            </w:r>
          </w:p>
        </w:tc>
        <w:tc>
          <w:tcPr>
            <w:tcW w:type="dxa" w:w="3024"/>
          </w:tcPr>
          <w:p>
            <w:r>
              <w:rPr>
                <w:rFonts w:eastAsia="Noto Sans TC"/>
                <w:rFonts w:ascii="Noto Sans TC" w:hAnsi="Noto Sans TC"/>
                <w:b w:val="0"/>
                <w:sz w:val="20"/>
              </w:rPr>
              <w:t>介面設計以簡為主，上線前安排操作說明會，並保留舊系統過渡期並行</w:t>
            </w:r>
          </w:p>
        </w:tc>
      </w:tr>
      <w:tr>
        <w:tc>
          <w:tcPr>
            <w:tcW w:type="dxa" w:w="3024"/>
          </w:tcPr>
          <w:p>
            <w:r>
              <w:rPr>
                <w:rFonts w:eastAsia="Noto Sans TC"/>
                <w:rFonts w:ascii="Noto Sans TC" w:hAnsi="Noto Sans TC"/>
                <w:b w:val="0"/>
                <w:sz w:val="20"/>
              </w:rPr>
              <w:t>B 品牌等級規則、點數 SOP 尚未制度化</w:t>
            </w:r>
          </w:p>
        </w:tc>
        <w:tc>
          <w:tcPr>
            <w:tcW w:type="dxa" w:w="3024"/>
          </w:tcPr>
          <w:p>
            <w:r>
              <w:rPr>
                <w:rFonts w:eastAsia="Noto Sans TC"/>
                <w:rFonts w:ascii="Noto Sans TC" w:hAnsi="Noto Sans TC"/>
                <w:b w:val="0"/>
                <w:sz w:val="20"/>
              </w:rPr>
              <w:t>直接影響 P1 部分模組的規則設計</w:t>
            </w:r>
          </w:p>
        </w:tc>
        <w:tc>
          <w:tcPr>
            <w:tcW w:type="dxa" w:w="3024"/>
          </w:tcPr>
          <w:p>
            <w:r>
              <w:rPr>
                <w:rFonts w:eastAsia="Noto Sans TC"/>
                <w:rFonts w:ascii="Noto Sans TC" w:hAnsi="Noto Sans TC"/>
                <w:b w:val="0"/>
                <w:sz w:val="20"/>
              </w:rPr>
              <w:t>列為 P1 期間需與業主共同確認的待辦事項</w:t>
            </w:r>
          </w:p>
        </w:tc>
      </w:tr>
    </w:tbl>
    <w:p/>
    <w:p>
      <w:pPr>
        <w:spacing w:before="80" w:after="80"/>
        <w:pBdr>
          <w:bottom w:val="single" w:sz="4" w:space="1" w:color="C0C0C0"/>
        </w:pBdr>
      </w:pPr>
    </w:p>
    <w:p>
      <w:pPr>
        <w:spacing w:before="160" w:after="80"/>
      </w:pPr>
      <w:r>
        <w:rPr>
          <w:rFonts w:eastAsia="Noto Sans TC"/>
          <w:rFonts w:ascii="Noto Sans TC" w:hAnsi="Noto Sans TC"/>
          <w:b/>
          <w:color w:val="1F497D"/>
          <w:sz w:val="28"/>
        </w:rPr>
        <w:t>八、待顧問協助評估事項</w:t>
      </w:r>
    </w:p>
    <w:p>
      <w:pPr>
        <w:pStyle w:val="ListBullet"/>
        <w:spacing w:before="20" w:after="20"/>
        <w:ind w:left="360"/>
      </w:pPr>
      <w:r>
        <w:rPr>
          <w:rFonts w:eastAsia="Noto Sans TC"/>
          <w:rFonts w:ascii="Noto Sans TC" w:hAnsi="Noto Sans TC"/>
          <w:b w:val="0"/>
          <w:sz w:val="22"/>
        </w:rPr>
        <w:t>本計畫的消費者效益敘事，是否符合貴單位目前掌握的補助方案（如數位轉型、智慧服務、個資保護等相關方案）的申請角度與格式要求？</w:t>
      </w:r>
    </w:p>
    <w:p>
      <w:pPr>
        <w:pStyle w:val="ListBullet"/>
        <w:spacing w:before="20" w:after="20"/>
        <w:ind w:left="360"/>
      </w:pPr>
      <w:r>
        <w:rPr>
          <w:rFonts w:eastAsia="Noto Sans TC"/>
          <w:rFonts w:ascii="Noto Sans TC" w:hAnsi="Noto Sans TC"/>
          <w:b w:val="0"/>
          <w:sz w:val="22"/>
        </w:rPr>
        <w:t>是否需要將「資料控制權取回」（P0，屬制度／合約層面，非系統開發）與「系統建置」（P1–P4）分開申請，或合併敘明？</w:t>
      </w:r>
    </w:p>
    <w:p>
      <w:pPr>
        <w:pStyle w:val="ListBullet"/>
        <w:spacing w:before="20" w:after="20"/>
        <w:ind w:left="360"/>
      </w:pPr>
      <w:r>
        <w:rPr>
          <w:rFonts w:eastAsia="Noto Sans TC"/>
          <w:rFonts w:ascii="Noto Sans TC" w:hAnsi="Noto Sans TC"/>
          <w:b w:val="0"/>
          <w:sz w:val="22"/>
        </w:rPr>
        <w:t>經費申請範圍是否包含 Phase 4（消費者商城），或建議先以 Phase 1–3 送件？</w:t>
      </w:r>
    </w:p>
    <w:p>
      <w:pPr>
        <w:pStyle w:val="ListBullet"/>
        <w:spacing w:before="20" w:after="20"/>
        <w:ind w:left="360"/>
      </w:pPr>
      <w:r>
        <w:rPr>
          <w:rFonts w:eastAsia="Noto Sans TC"/>
          <w:rFonts w:ascii="Noto Sans TC" w:hAnsi="Noto Sans TC"/>
          <w:b w:val="0"/>
          <w:sz w:val="22"/>
        </w:rPr>
        <w:t>是否需要企業提供更完整的財務資料（如目前人力成本、對帳工時）以強化效益佐證？</w:t>
      </w:r>
    </w:p>
    <w:p>
      <w:pPr>
        <w:spacing w:before="80" w:after="80"/>
        <w:pBdr>
          <w:bottom w:val="single" w:sz="4" w:space="1" w:color="C0C0C0"/>
        </w:pBdr>
      </w:pPr>
    </w:p>
    <w:p>
      <w:r>
        <w:rPr>
          <w:rFonts w:eastAsia="Noto Sans TC"/>
          <w:rFonts w:ascii="Noto Sans TC" w:hAnsi="Noto Sans TC"/>
          <w:b/>
          <w:sz w:val="22"/>
        </w:rPr>
        <w:t>附件參考</w:t>
      </w:r>
    </w:p>
    <w:p>
      <w:pPr>
        <w:pStyle w:val="ListBullet"/>
        <w:spacing w:before="20" w:after="20"/>
        <w:ind w:left="360"/>
      </w:pPr>
      <w:r>
        <w:rPr>
          <w:rFonts w:eastAsia="Noto Sans TC"/>
          <w:rFonts w:ascii="Noto Sans TC" w:hAnsi="Noto Sans TC"/>
          <w:b w:val="0"/>
          <w:sz w:val="22"/>
        </w:rPr>
        <w:t>附件一：艾琳諾營運現況診斷報告（2026-06-21）</w:t>
      </w:r>
    </w:p>
    <w:p>
      <w:pPr>
        <w:pStyle w:val="ListBullet"/>
        <w:spacing w:before="20" w:after="20"/>
        <w:ind w:left="360"/>
      </w:pPr>
      <w:r>
        <w:rPr>
          <w:rFonts w:eastAsia="Noto Sans TC"/>
          <w:rFonts w:ascii="Noto Sans TC" w:hAnsi="Noto Sans TC"/>
          <w:b w:val="0"/>
          <w:sz w:val="22"/>
        </w:rPr>
        <w:t>附件二：艾琳諾雙品牌經銷商管理系統 MVP 規劃書 v2.0（業主版）</w:t>
      </w:r>
    </w:p>
    <w:p>
      <w:pPr>
        <w:pStyle w:val="ListBullet"/>
        <w:spacing w:before="20" w:after="20"/>
        <w:ind w:left="360"/>
      </w:pPr>
      <w:r>
        <w:rPr>
          <w:rFonts w:eastAsia="Noto Sans TC"/>
          <w:rFonts w:ascii="Noto Sans TC" w:hAnsi="Noto Sans TC"/>
          <w:b w:val="0"/>
          <w:sz w:val="22"/>
        </w:rPr>
        <w:t>附件三：艾琳諾雙品牌經銷商管理系統架構書（bailaoshi-style v10，含 ROI 試算）</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