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fixture for the DOCX parser test suite.</w:t>
      </w:r>
    </w:p>
    <w:p>
      <w:pPr>
        <w:pStyle w:val="Heading1"/>
      </w:pPr>
      <w:r>
        <w:t>Introduction</w:t>
      </w:r>
    </w:p>
    <w:p>
      <w:r>
        <w:t>The system shall provide autonomous aerial refueling operations under all specified environmental conditions.</w:t>
      </w:r>
    </w:p>
    <w:p>
      <w:pPr>
        <w:pStyle w:val="Heading2"/>
      </w:pPr>
      <w:r>
        <w:t>Background</w:t>
      </w:r>
    </w:p>
    <w:p>
      <w:r>
        <w:t>Prior systems required manual intervention at each step of the refueling sequence.</w:t>
      </w:r>
    </w:p>
    <w:p>
      <w:pPr>
        <w:pStyle w:val="Heading1"/>
      </w:pPr>
      <w:r>
        <w:t>Requirements</w:t>
      </w:r>
    </w:p>
    <w:p>
      <w:r>
        <w:t>REQ-001: The system shall detect coupling faults within 2 seconds.</w:t>
      </w:r>
    </w:p>
  </w:body>
</w:document>
</file>