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 w:after="40"/>
        <w:rPr/>
      </w:pPr>
      <w:r>
        <w:rPr/>
        <w:drawing>
          <wp:inline distT="0" distB="0" distL="0" distR="0">
            <wp:extent cx="3249295" cy="1219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3249295" cy="1219200"/>
                    </a:xfrm>
                    <a:prstGeom prst="rect">
                      <a:avLst/>
                    </a:prstGeom>
                    <a:noFill/>
                  </pic:spPr>
                </pic:pic>
              </a:graphicData>
            </a:graphic>
          </wp:inline>
        </w:drawing>
      </w:r>
    </w:p>
    <w:p>
      <w:pPr>
        <w:pStyle w:val="Normal"/>
        <w:spacing w:before="40" w:after="40"/>
        <w:rPr/>
      </w:pPr>
      <w:r>
        <w:rPr/>
      </w:r>
    </w:p>
    <w:p>
      <w:pPr>
        <w:pStyle w:val="Normal"/>
        <w:spacing w:before="100" w:after="100"/>
        <w:jc w:val="center"/>
        <w:rPr/>
      </w:pPr>
      <w:r>
        <w:rPr>
          <w:rFonts w:eastAsia="Arial" w:cs="Arial"/>
          <w:b/>
          <w:bCs/>
          <w:spacing w:val="-2"/>
          <w:sz w:val="24"/>
          <w:szCs w:val="24"/>
        </w:rPr>
        <w:t>Topic:</w:t>
      </w:r>
      <w:r>
        <w:rPr>
          <w:rFonts w:eastAsia="Arial" w:cs="Arial"/>
          <w:b/>
          <w:bCs/>
          <w:sz w:val="24"/>
          <w:szCs w:val="24"/>
        </w:rPr>
        <w:tab/>
      </w:r>
      <w:r>
        <w:rPr>
          <w:rFonts w:eastAsia="Arial" w:cs="Arial"/>
          <w:b/>
          <w:bCs/>
          <w:sz w:val="26"/>
          <w:szCs w:val="26"/>
        </w:rPr>
        <w:t>USING ARTIFICIAL INTELLIGENCE AND GIS TO IMPROVE LAND TITLE VERIFICATION AND REDUCE LAND FRAUD IN UGANDA</w:t>
      </w:r>
    </w:p>
    <w:p>
      <w:pPr>
        <w:pStyle w:val="Normal"/>
        <w:spacing w:before="40" w:after="40"/>
        <w:rPr>
          <w:rFonts w:ascii="Arial" w:hAnsi="Arial" w:eastAsia="Arial" w:cs="Arial"/>
          <w:sz w:val="20"/>
          <w:szCs w:val="20"/>
        </w:rPr>
      </w:pPr>
      <w:r>
        <w:rPr/>
      </w:r>
    </w:p>
    <w:p>
      <w:pPr>
        <w:pStyle w:val="Normal"/>
        <w:spacing w:before="40" w:after="40"/>
        <w:rPr/>
      </w:pPr>
      <w:r>
        <w:rPr/>
      </w:r>
    </w:p>
    <w:p>
      <w:pPr>
        <w:pStyle w:val="Normal"/>
        <w:spacing w:before="40" w:after="40"/>
        <w:rPr/>
      </w:pPr>
      <w:r>
        <w:rPr/>
      </w:r>
    </w:p>
    <w:p>
      <w:pPr>
        <w:pStyle w:val="Normal"/>
        <w:spacing w:before="100" w:after="100"/>
        <w:jc w:val="center"/>
        <w:rPr/>
      </w:pPr>
      <w:r>
        <w:rPr>
          <w:rFonts w:eastAsia="Arial" w:cs="Arial"/>
          <w:b/>
          <w:bCs/>
          <w:sz w:val="20"/>
          <w:szCs w:val="20"/>
        </w:rPr>
        <w:t>SUBMITTED TO</w:t>
      </w:r>
    </w:p>
    <w:p>
      <w:pPr>
        <w:pStyle w:val="Normal"/>
        <w:spacing w:before="100" w:after="100"/>
        <w:jc w:val="center"/>
        <w:rPr/>
      </w:pPr>
      <w:r>
        <w:rPr>
          <w:rFonts w:eastAsia="Arial" w:cs="Arial"/>
          <w:b/>
          <w:bCs/>
          <w:sz w:val="20"/>
          <w:szCs w:val="20"/>
        </w:rPr>
        <w:t>ISBAT University, Uganda</w:t>
      </w:r>
    </w:p>
    <w:p>
      <w:pPr>
        <w:pStyle w:val="Normal"/>
        <w:spacing w:before="40" w:after="40"/>
        <w:rPr/>
      </w:pPr>
      <w:r>
        <w:rPr/>
      </w:r>
    </w:p>
    <w:p>
      <w:pPr>
        <w:pStyle w:val="Normal"/>
        <w:spacing w:before="40" w:after="40"/>
        <w:rPr/>
      </w:pPr>
      <w:r>
        <w:rPr/>
      </w:r>
    </w:p>
    <w:p>
      <w:pPr>
        <w:pStyle w:val="Normal"/>
        <w:spacing w:before="100" w:after="100"/>
        <w:jc w:val="center"/>
        <w:rPr/>
      </w:pPr>
      <w:r>
        <w:rPr>
          <w:rFonts w:eastAsia="Arial" w:cs="Arial"/>
          <w:b/>
          <w:bCs/>
          <w:sz w:val="20"/>
          <w:szCs w:val="20"/>
        </w:rPr>
        <w:t>SUBMITTED BY</w:t>
      </w:r>
    </w:p>
    <w:p>
      <w:pPr>
        <w:pStyle w:val="Normal"/>
        <w:spacing w:before="40" w:after="40"/>
        <w:rPr/>
      </w:pPr>
      <w:r>
        <w:rPr/>
      </w:r>
    </w:p>
    <w:p>
      <w:pPr>
        <w:pStyle w:val="Normal"/>
        <w:spacing w:before="60" w:after="50"/>
        <w:jc w:val="center"/>
        <w:rPr>
          <w:b/>
          <w:bCs/>
          <w:sz w:val="24"/>
          <w:szCs w:val="24"/>
        </w:rPr>
      </w:pPr>
      <w:r>
        <w:rPr>
          <w:rFonts w:eastAsia="Arial" w:cs="Arial"/>
          <w:b/>
          <w:bCs/>
          <w:sz w:val="24"/>
          <w:szCs w:val="24"/>
        </w:rPr>
        <w:t>Names: TALEMWA JOEL</w:t>
      </w:r>
    </w:p>
    <w:p>
      <w:pPr>
        <w:pStyle w:val="Normal"/>
        <w:spacing w:before="50" w:after="60"/>
        <w:jc w:val="center"/>
        <w:rPr>
          <w:b/>
          <w:bCs/>
          <w:sz w:val="24"/>
          <w:szCs w:val="24"/>
        </w:rPr>
      </w:pPr>
      <w:r>
        <w:rPr>
          <w:rFonts w:eastAsia="Arial" w:cs="Arial"/>
          <w:b/>
          <w:bCs/>
          <w:sz w:val="24"/>
          <w:szCs w:val="24"/>
        </w:rPr>
        <w:t>Roll No:012230088</w:t>
      </w:r>
    </w:p>
    <w:p>
      <w:pPr>
        <w:pStyle w:val="Normal"/>
        <w:spacing w:before="40" w:after="40"/>
        <w:rPr/>
      </w:pPr>
      <w:r>
        <w:rPr/>
      </w:r>
    </w:p>
    <w:p>
      <w:pPr>
        <w:pStyle w:val="Normal"/>
        <w:spacing w:before="40" w:after="40"/>
        <w:rPr/>
      </w:pPr>
      <w:r>
        <w:rPr/>
      </w:r>
    </w:p>
    <w:p>
      <w:pPr>
        <w:pStyle w:val="Normal"/>
        <w:spacing w:before="100" w:after="100"/>
        <w:jc w:val="center"/>
        <w:rPr/>
      </w:pPr>
      <w:r>
        <w:rPr>
          <w:rFonts w:eastAsia="Arial" w:cs="Arial"/>
          <w:b/>
          <w:bCs/>
          <w:sz w:val="20"/>
          <w:szCs w:val="20"/>
        </w:rPr>
        <w:t>SUPERVISOR</w:t>
      </w:r>
    </w:p>
    <w:p>
      <w:pPr>
        <w:pStyle w:val="Normal"/>
        <w:spacing w:before="40" w:after="40"/>
        <w:rPr/>
      </w:pPr>
      <w:r>
        <w:rPr/>
      </w:r>
    </w:p>
    <w:p>
      <w:pPr>
        <w:pStyle w:val="Normal"/>
        <w:spacing w:before="60" w:after="60"/>
        <w:jc w:val="center"/>
        <w:rPr/>
      </w:pPr>
      <w:r>
        <w:rPr>
          <w:rFonts w:eastAsia="Arial" w:cs="Arial"/>
          <w:sz w:val="20"/>
          <w:szCs w:val="20"/>
        </w:rPr>
        <w:t>Eng. Kibwika Bashir</w:t>
      </w:r>
    </w:p>
    <w:p>
      <w:pPr>
        <w:pStyle w:val="Normal"/>
        <w:spacing w:before="60" w:after="60"/>
        <w:jc w:val="center"/>
        <w:rPr/>
      </w:pPr>
      <w:r>
        <w:rPr>
          <w:rFonts w:eastAsia="Arial" w:cs="Arial"/>
          <w:sz w:val="20"/>
          <w:szCs w:val="20"/>
        </w:rPr>
        <w:t>ISBAT University, P. O. Box 8383, Kampala – Uganda</w:t>
      </w:r>
    </w:p>
    <w:p>
      <w:pPr>
        <w:pStyle w:val="Normal"/>
        <w:spacing w:before="40" w:after="40"/>
        <w:rPr/>
      </w:pPr>
      <w:r>
        <w:rPr/>
      </w:r>
    </w:p>
    <w:p>
      <w:pPr>
        <w:pStyle w:val="Normal"/>
        <w:spacing w:before="40" w:after="40"/>
        <w:rPr/>
      </w:pPr>
      <w:r>
        <w:rPr/>
      </w:r>
    </w:p>
    <w:p>
      <w:pPr>
        <w:pStyle w:val="Normal"/>
        <w:spacing w:before="60" w:after="60"/>
        <w:jc w:val="center"/>
        <w:rPr/>
      </w:pPr>
      <w:r>
        <w:rPr>
          <w:rFonts w:eastAsia="Arial" w:cs="Arial"/>
          <w:sz w:val="20"/>
          <w:szCs w:val="20"/>
        </w:rPr>
        <w:t>March 2026</w:t>
      </w:r>
    </w:p>
    <w:p>
      <w:pPr>
        <w:pStyle w:val="Normal"/>
        <w:rPr/>
      </w:pPr>
      <w:r>
        <w:rPr/>
      </w:r>
      <w:r>
        <w:br w:type="page"/>
      </w:r>
    </w:p>
    <w:p>
      <w:pPr>
        <w:pStyle w:val="Normal"/>
        <w:spacing w:before="0" w:after="200"/>
        <w:jc w:val="center"/>
        <w:rPr/>
      </w:pPr>
      <w:r>
        <w:rPr>
          <w:rFonts w:eastAsia="Arial" w:cs="Arial"/>
          <w:b/>
          <w:bCs/>
          <w:sz w:val="24"/>
          <w:szCs w:val="24"/>
          <w:u w:val="single"/>
        </w:rPr>
        <w:t>TABLE OF CONTENTS</w:t>
      </w:r>
    </w:p>
    <w:p>
      <w:pPr>
        <w:pStyle w:val="Normal"/>
        <w:tabs>
          <w:tab w:val="clear" w:pos="720"/>
          <w:tab w:val="right" w:pos="8640" w:leader="dot"/>
        </w:tabs>
        <w:spacing w:before="60" w:after="60"/>
        <w:ind w:start="0"/>
        <w:rPr/>
      </w:pPr>
      <w:r>
        <w:rPr>
          <w:rFonts w:eastAsia="Arial" w:cs="Arial"/>
          <w:sz w:val="20"/>
          <w:szCs w:val="20"/>
        </w:rPr>
        <w:t>Abstract</w:t>
        <w:tab/>
        <w:t>3</w:t>
      </w:r>
    </w:p>
    <w:p>
      <w:pPr>
        <w:pStyle w:val="Normal"/>
        <w:tabs>
          <w:tab w:val="clear" w:pos="720"/>
          <w:tab w:val="right" w:pos="8640" w:leader="dot"/>
        </w:tabs>
        <w:spacing w:before="60" w:after="60"/>
        <w:ind w:start="0"/>
        <w:rPr/>
      </w:pPr>
      <w:r>
        <w:rPr>
          <w:rFonts w:eastAsia="Arial" w:cs="Arial"/>
          <w:sz w:val="20"/>
          <w:szCs w:val="20"/>
        </w:rPr>
        <w:t>List of Abbreviations</w:t>
        <w:tab/>
        <w:t>3</w:t>
      </w:r>
    </w:p>
    <w:p>
      <w:pPr>
        <w:pStyle w:val="Normal"/>
        <w:tabs>
          <w:tab w:val="clear" w:pos="720"/>
          <w:tab w:val="right" w:pos="8640" w:leader="dot"/>
        </w:tabs>
        <w:spacing w:before="60" w:after="60"/>
        <w:ind w:start="280"/>
        <w:rPr/>
      </w:pPr>
      <w:r>
        <w:rPr>
          <w:rFonts w:eastAsia="Arial" w:cs="Arial"/>
          <w:sz w:val="20"/>
          <w:szCs w:val="20"/>
        </w:rPr>
        <w:t>1.0  Introduction</w:t>
        <w:tab/>
        <w:t>4</w:t>
      </w:r>
    </w:p>
    <w:p>
      <w:pPr>
        <w:pStyle w:val="Normal"/>
        <w:tabs>
          <w:tab w:val="clear" w:pos="720"/>
          <w:tab w:val="right" w:pos="8640" w:leader="dot"/>
        </w:tabs>
        <w:spacing w:before="60" w:after="60"/>
        <w:ind w:start="280"/>
        <w:rPr/>
      </w:pPr>
      <w:r>
        <w:rPr>
          <w:rFonts w:eastAsia="Arial" w:cs="Arial"/>
          <w:sz w:val="20"/>
          <w:szCs w:val="20"/>
        </w:rPr>
        <w:t>2.0  Background to the Study</w:t>
        <w:tab/>
        <w:t>4</w:t>
      </w:r>
    </w:p>
    <w:p>
      <w:pPr>
        <w:pStyle w:val="Normal"/>
        <w:tabs>
          <w:tab w:val="clear" w:pos="720"/>
          <w:tab w:val="right" w:pos="8640" w:leader="dot"/>
        </w:tabs>
        <w:spacing w:before="60" w:after="60"/>
        <w:ind w:start="280"/>
        <w:rPr/>
      </w:pPr>
      <w:r>
        <w:rPr>
          <w:rFonts w:eastAsia="Arial" w:cs="Arial"/>
          <w:sz w:val="20"/>
          <w:szCs w:val="20"/>
        </w:rPr>
        <w:t>3.0  Problem Statement</w:t>
        <w:tab/>
        <w:t>5</w:t>
      </w:r>
    </w:p>
    <w:p>
      <w:pPr>
        <w:pStyle w:val="Normal"/>
        <w:tabs>
          <w:tab w:val="clear" w:pos="720"/>
          <w:tab w:val="right" w:pos="8640" w:leader="dot"/>
        </w:tabs>
        <w:spacing w:before="60" w:after="60"/>
        <w:ind w:start="280"/>
        <w:rPr/>
      </w:pPr>
      <w:r>
        <w:rPr>
          <w:rFonts w:eastAsia="Arial" w:cs="Arial"/>
          <w:sz w:val="20"/>
          <w:szCs w:val="20"/>
        </w:rPr>
        <w:t>4.0  Objectives of the Study</w:t>
        <w:tab/>
        <w:t>5</w:t>
      </w:r>
    </w:p>
    <w:p>
      <w:pPr>
        <w:pStyle w:val="Normal"/>
        <w:tabs>
          <w:tab w:val="clear" w:pos="720"/>
          <w:tab w:val="right" w:pos="8640" w:leader="dot"/>
        </w:tabs>
        <w:spacing w:before="60" w:after="60"/>
        <w:ind w:start="280"/>
        <w:rPr/>
      </w:pPr>
      <w:r>
        <w:rPr>
          <w:rFonts w:eastAsia="Arial" w:cs="Arial"/>
          <w:sz w:val="20"/>
          <w:szCs w:val="20"/>
        </w:rPr>
        <w:t>5.0  Research Questions</w:t>
        <w:tab/>
        <w:t>6</w:t>
      </w:r>
    </w:p>
    <w:p>
      <w:pPr>
        <w:pStyle w:val="Normal"/>
        <w:tabs>
          <w:tab w:val="clear" w:pos="720"/>
          <w:tab w:val="right" w:pos="8640" w:leader="dot"/>
        </w:tabs>
        <w:spacing w:before="60" w:after="60"/>
        <w:ind w:start="280"/>
        <w:rPr/>
      </w:pPr>
      <w:r>
        <w:rPr>
          <w:rFonts w:eastAsia="Arial" w:cs="Arial"/>
          <w:sz w:val="20"/>
          <w:szCs w:val="20"/>
        </w:rPr>
        <w:t>6.0  Scope of the Study</w:t>
        <w:tab/>
        <w:t>6</w:t>
      </w:r>
    </w:p>
    <w:p>
      <w:pPr>
        <w:pStyle w:val="Normal"/>
        <w:tabs>
          <w:tab w:val="clear" w:pos="720"/>
          <w:tab w:val="right" w:pos="8640" w:leader="dot"/>
        </w:tabs>
        <w:spacing w:before="60" w:after="60"/>
        <w:ind w:start="280"/>
        <w:rPr/>
      </w:pPr>
      <w:r>
        <w:rPr>
          <w:rFonts w:eastAsia="Arial" w:cs="Arial"/>
          <w:sz w:val="20"/>
          <w:szCs w:val="20"/>
        </w:rPr>
        <w:t>7.0  Significance of the Study</w:t>
        <w:tab/>
        <w:t>6</w:t>
      </w:r>
    </w:p>
    <w:p>
      <w:pPr>
        <w:pStyle w:val="Normal"/>
        <w:tabs>
          <w:tab w:val="clear" w:pos="720"/>
          <w:tab w:val="right" w:pos="8640" w:leader="dot"/>
        </w:tabs>
        <w:spacing w:before="60" w:after="60"/>
        <w:ind w:start="280"/>
        <w:rPr/>
      </w:pPr>
      <w:r>
        <w:rPr>
          <w:rFonts w:eastAsia="Arial" w:cs="Arial"/>
          <w:sz w:val="20"/>
          <w:szCs w:val="20"/>
        </w:rPr>
        <w:t>8.0  Literature Review</w:t>
        <w:tab/>
        <w:t>7</w:t>
      </w:r>
    </w:p>
    <w:p>
      <w:pPr>
        <w:pStyle w:val="Normal"/>
        <w:tabs>
          <w:tab w:val="clear" w:pos="720"/>
          <w:tab w:val="right" w:pos="8640" w:leader="dot"/>
        </w:tabs>
        <w:spacing w:before="60" w:after="60"/>
        <w:ind w:start="280"/>
        <w:rPr/>
      </w:pPr>
      <w:r>
        <w:rPr>
          <w:rFonts w:eastAsia="Arial" w:cs="Arial"/>
          <w:sz w:val="20"/>
          <w:szCs w:val="20"/>
        </w:rPr>
        <w:t>9.0  Methodology</w:t>
        <w:tab/>
        <w:t>8</w:t>
      </w:r>
    </w:p>
    <w:p>
      <w:pPr>
        <w:pStyle w:val="Normal"/>
        <w:tabs>
          <w:tab w:val="clear" w:pos="720"/>
          <w:tab w:val="right" w:pos="8640" w:leader="dot"/>
        </w:tabs>
        <w:spacing w:before="60" w:after="60"/>
        <w:ind w:start="280"/>
        <w:rPr/>
      </w:pPr>
      <w:r>
        <w:rPr>
          <w:rFonts w:eastAsia="Arial" w:cs="Arial"/>
          <w:sz w:val="20"/>
          <w:szCs w:val="20"/>
        </w:rPr>
        <w:t>10.0  Work Plan</w:t>
        <w:tab/>
        <w:t>9</w:t>
      </w:r>
    </w:p>
    <w:p>
      <w:pPr>
        <w:pStyle w:val="Normal"/>
        <w:tabs>
          <w:tab w:val="clear" w:pos="720"/>
          <w:tab w:val="right" w:pos="8640" w:leader="dot"/>
        </w:tabs>
        <w:spacing w:before="60" w:after="60"/>
        <w:ind w:start="280"/>
        <w:rPr/>
      </w:pPr>
      <w:r>
        <w:rPr>
          <w:rFonts w:eastAsia="Arial" w:cs="Arial"/>
          <w:sz w:val="20"/>
          <w:szCs w:val="20"/>
        </w:rPr>
        <w:t>11.0  Budget Estimate</w:t>
        <w:tab/>
        <w:t>10</w:t>
      </w:r>
    </w:p>
    <w:p>
      <w:pPr>
        <w:pStyle w:val="Normal"/>
        <w:tabs>
          <w:tab w:val="clear" w:pos="720"/>
          <w:tab w:val="right" w:pos="8640" w:leader="dot"/>
        </w:tabs>
        <w:spacing w:before="60" w:after="60"/>
        <w:ind w:start="0"/>
        <w:rPr/>
      </w:pPr>
      <w:r>
        <w:rPr>
          <w:rFonts w:eastAsia="Arial" w:cs="Arial"/>
          <w:sz w:val="20"/>
          <w:szCs w:val="20"/>
        </w:rPr>
        <w:t>References</w:t>
        <w:tab/>
        <w:t>10</w:t>
      </w:r>
    </w:p>
    <w:p>
      <w:pPr>
        <w:pStyle w:val="Normal"/>
        <w:rPr/>
      </w:pPr>
      <w:r>
        <w:rPr/>
      </w:r>
      <w:r>
        <w:br w:type="page"/>
      </w:r>
    </w:p>
    <w:p>
      <w:pPr>
        <w:pStyle w:val="Normal"/>
        <w:spacing w:before="0" w:after="100"/>
        <w:rPr/>
      </w:pPr>
      <w:r>
        <w:rPr>
          <w:rFonts w:eastAsia="Arial" w:cs="Arial"/>
          <w:b/>
          <w:bCs/>
          <w:sz w:val="22"/>
          <w:szCs w:val="22"/>
        </w:rPr>
        <w:t>ABSTRACT</w:t>
      </w:r>
    </w:p>
    <w:p>
      <w:pPr>
        <w:pStyle w:val="Normal"/>
        <w:spacing w:before="60" w:after="60"/>
        <w:jc w:val="both"/>
        <w:rPr/>
      </w:pPr>
      <w:r>
        <w:rPr>
          <w:rFonts w:eastAsia="Arial" w:cs="Arial"/>
          <w:sz w:val="20"/>
          <w:szCs w:val="20"/>
        </w:rPr>
        <w:t>Uganda's land market is undermined by fraudulent ownership records, inflated valuations, and the absence of locally adapted digital verification tools. The government's UgNLIS portal confirms legal ownership but provides no price intelligence, fraud risk scoring, GIS spatial analysis, or guidance through the legal transfer process.</w:t>
      </w:r>
    </w:p>
    <w:p>
      <w:pPr>
        <w:pStyle w:val="Normal"/>
        <w:spacing w:before="40" w:after="40"/>
        <w:rPr/>
      </w:pPr>
      <w:r>
        <w:rPr/>
      </w:r>
    </w:p>
    <w:p>
      <w:pPr>
        <w:pStyle w:val="Normal"/>
        <w:spacing w:before="60" w:after="60"/>
        <w:jc w:val="both"/>
        <w:rPr/>
      </w:pPr>
      <w:r>
        <w:rPr>
          <w:rFonts w:eastAsia="Arial" w:cs="Arial"/>
          <w:sz w:val="20"/>
          <w:szCs w:val="20"/>
        </w:rPr>
        <w:t>This project designs and deploys PlotSure, a platform that uses Artificial Intelligence and Geographic Information Systems to improve land title verification and reduce land fraud in Uganda. Built on FastAPI, PostgreSQL, Neo4j, and Streamlit, the system integrates: UgNLIS API for official title and encumbrance data; a GIS-enriched ML price prediction engine using remote sensing indicators; a graph-based ownership risk scanner with machine learning anomaly detection; and blockchain-hashed tamper-evident certificates. The platform also automates stamp duty calculation and generates personalised document checklists for buyers completing legal title transfers. Developed and evaluated March to May 2026 using the Design Science Research paradigm and Agile Scrum methodology.</w:t>
      </w:r>
    </w:p>
    <w:p>
      <w:pPr>
        <w:pStyle w:val="Normal"/>
        <w:spacing w:before="40" w:after="40"/>
        <w:rPr/>
      </w:pPr>
      <w:r>
        <w:rPr/>
      </w:r>
    </w:p>
    <w:p>
      <w:pPr>
        <w:pStyle w:val="Normal"/>
        <w:spacing w:before="60" w:after="100"/>
        <w:rPr/>
      </w:pPr>
      <w:r>
        <w:rPr>
          <w:rFonts w:eastAsia="Arial" w:cs="Arial"/>
          <w:b/>
          <w:bCs/>
          <w:sz w:val="20"/>
          <w:szCs w:val="20"/>
        </w:rPr>
        <w:t xml:space="preserve">Keywords: </w:t>
      </w:r>
      <w:r>
        <w:rPr>
          <w:rFonts w:eastAsia="Arial" w:cs="Arial"/>
          <w:sz w:val="20"/>
          <w:szCs w:val="20"/>
        </w:rPr>
        <w:t>GIS, remote sensing, AI valuation, UgNLIS, graph fraud detection, ML anomaly detection, blockchain, Uganda</w:t>
      </w:r>
    </w:p>
    <w:p>
      <w:pPr>
        <w:pStyle w:val="Normal"/>
        <w:spacing w:before="120" w:after="100"/>
        <w:rPr/>
      </w:pPr>
      <w:r>
        <w:rPr>
          <w:rFonts w:eastAsia="Arial" w:cs="Arial"/>
          <w:b/>
          <w:bCs/>
          <w:sz w:val="22"/>
          <w:szCs w:val="22"/>
          <w:u w:val="single"/>
        </w:rPr>
        <w:t>LIST OF ABBREVIATIONS</w:t>
      </w:r>
    </w:p>
    <w:p>
      <w:pPr>
        <w:pStyle w:val="Normal"/>
        <w:spacing w:before="38" w:after="38"/>
        <w:rPr/>
      </w:pPr>
      <w:r>
        <w:rPr>
          <w:rFonts w:eastAsia="Arial" w:cs="Arial"/>
          <w:b/>
          <w:bCs/>
          <w:sz w:val="20"/>
          <w:szCs w:val="20"/>
        </w:rPr>
        <w:t>AI</w:t>
      </w:r>
      <w:r>
        <w:rPr>
          <w:rFonts w:eastAsia="Arial" w:cs="Arial"/>
          <w:sz w:val="20"/>
          <w:szCs w:val="20"/>
        </w:rPr>
        <w:t xml:space="preserve">  Artificial Intelligence</w:t>
      </w:r>
    </w:p>
    <w:p>
      <w:pPr>
        <w:pStyle w:val="Normal"/>
        <w:spacing w:before="38" w:after="38"/>
        <w:rPr/>
      </w:pPr>
      <w:r>
        <w:rPr>
          <w:rFonts w:eastAsia="Arial" w:cs="Arial"/>
          <w:b/>
          <w:bCs/>
          <w:sz w:val="20"/>
          <w:szCs w:val="20"/>
        </w:rPr>
        <w:t>API</w:t>
      </w:r>
      <w:r>
        <w:rPr>
          <w:rFonts w:eastAsia="Arial" w:cs="Arial"/>
          <w:sz w:val="20"/>
          <w:szCs w:val="20"/>
        </w:rPr>
        <w:t xml:space="preserve">  Application Programming Interface</w:t>
      </w:r>
    </w:p>
    <w:p>
      <w:pPr>
        <w:pStyle w:val="Normal"/>
        <w:spacing w:before="38" w:after="38"/>
        <w:rPr/>
      </w:pPr>
      <w:r>
        <w:rPr>
          <w:rFonts w:eastAsia="Arial" w:cs="Arial"/>
          <w:b/>
          <w:bCs/>
          <w:sz w:val="20"/>
          <w:szCs w:val="20"/>
        </w:rPr>
        <w:t>DSR</w:t>
      </w:r>
      <w:r>
        <w:rPr>
          <w:rFonts w:eastAsia="Arial" w:cs="Arial"/>
          <w:sz w:val="20"/>
          <w:szCs w:val="20"/>
        </w:rPr>
        <w:t xml:space="preserve">  Design Science Research</w:t>
      </w:r>
    </w:p>
    <w:p>
      <w:pPr>
        <w:pStyle w:val="Normal"/>
        <w:spacing w:before="38" w:after="38"/>
        <w:rPr/>
      </w:pPr>
      <w:r>
        <w:rPr>
          <w:rFonts w:eastAsia="Arial" w:cs="Arial"/>
          <w:b/>
          <w:bCs/>
          <w:sz w:val="20"/>
          <w:szCs w:val="20"/>
        </w:rPr>
        <w:t>GIS</w:t>
      </w:r>
      <w:r>
        <w:rPr>
          <w:rFonts w:eastAsia="Arial" w:cs="Arial"/>
          <w:sz w:val="20"/>
          <w:szCs w:val="20"/>
        </w:rPr>
        <w:t xml:space="preserve">  Geographic Information System</w:t>
      </w:r>
    </w:p>
    <w:p>
      <w:pPr>
        <w:pStyle w:val="Normal"/>
        <w:spacing w:before="38" w:after="38"/>
        <w:rPr/>
      </w:pPr>
      <w:r>
        <w:rPr>
          <w:rFonts w:eastAsia="Arial" w:cs="Arial"/>
          <w:b/>
          <w:bCs/>
          <w:sz w:val="20"/>
          <w:szCs w:val="20"/>
        </w:rPr>
        <w:t>JWT</w:t>
      </w:r>
      <w:r>
        <w:rPr>
          <w:rFonts w:eastAsia="Arial" w:cs="Arial"/>
          <w:sz w:val="20"/>
          <w:szCs w:val="20"/>
        </w:rPr>
        <w:t xml:space="preserve">  JSON Web Token</w:t>
      </w:r>
    </w:p>
    <w:p>
      <w:pPr>
        <w:pStyle w:val="Normal"/>
        <w:spacing w:before="38" w:after="38"/>
        <w:rPr/>
      </w:pPr>
      <w:r>
        <w:rPr>
          <w:rFonts w:eastAsia="Arial" w:cs="Arial"/>
          <w:b/>
          <w:bCs/>
          <w:sz w:val="20"/>
          <w:szCs w:val="20"/>
        </w:rPr>
        <w:t>ML</w:t>
      </w:r>
      <w:r>
        <w:rPr>
          <w:rFonts w:eastAsia="Arial" w:cs="Arial"/>
          <w:sz w:val="20"/>
          <w:szCs w:val="20"/>
        </w:rPr>
        <w:t xml:space="preserve">  Machine Learning</w:t>
      </w:r>
    </w:p>
    <w:p>
      <w:pPr>
        <w:pStyle w:val="Normal"/>
        <w:spacing w:before="38" w:after="38"/>
        <w:rPr/>
      </w:pPr>
      <w:r>
        <w:rPr>
          <w:rFonts w:eastAsia="Arial" w:cs="Arial"/>
          <w:b/>
          <w:bCs/>
          <w:sz w:val="20"/>
          <w:szCs w:val="20"/>
        </w:rPr>
        <w:t>MZO</w:t>
      </w:r>
      <w:r>
        <w:rPr>
          <w:rFonts w:eastAsia="Arial" w:cs="Arial"/>
          <w:sz w:val="20"/>
          <w:szCs w:val="20"/>
        </w:rPr>
        <w:t xml:space="preserve">  Ministry Zonal Office</w:t>
      </w:r>
    </w:p>
    <w:p>
      <w:pPr>
        <w:pStyle w:val="Normal"/>
        <w:spacing w:before="38" w:after="38"/>
        <w:rPr/>
      </w:pPr>
      <w:r>
        <w:rPr>
          <w:rFonts w:eastAsia="Arial" w:cs="Arial"/>
          <w:b/>
          <w:bCs/>
          <w:sz w:val="20"/>
          <w:szCs w:val="20"/>
        </w:rPr>
        <w:t>TIN</w:t>
      </w:r>
      <w:r>
        <w:rPr>
          <w:rFonts w:eastAsia="Arial" w:cs="Arial"/>
          <w:sz w:val="20"/>
          <w:szCs w:val="20"/>
        </w:rPr>
        <w:t xml:space="preserve">  Tax Identification Number</w:t>
      </w:r>
    </w:p>
    <w:p>
      <w:pPr>
        <w:pStyle w:val="Normal"/>
        <w:spacing w:before="38" w:after="38"/>
        <w:rPr/>
      </w:pPr>
      <w:r>
        <w:rPr>
          <w:rFonts w:eastAsia="Arial" w:cs="Arial"/>
          <w:b/>
          <w:bCs/>
          <w:sz w:val="20"/>
          <w:szCs w:val="20"/>
        </w:rPr>
        <w:t>UAT</w:t>
      </w:r>
      <w:r>
        <w:rPr>
          <w:rFonts w:eastAsia="Arial" w:cs="Arial"/>
          <w:sz w:val="20"/>
          <w:szCs w:val="20"/>
        </w:rPr>
        <w:t xml:space="preserve">  User Acceptance Testing</w:t>
      </w:r>
    </w:p>
    <w:p>
      <w:pPr>
        <w:pStyle w:val="Normal"/>
        <w:spacing w:before="38" w:after="38"/>
        <w:rPr/>
      </w:pPr>
      <w:r>
        <w:rPr>
          <w:rFonts w:eastAsia="Arial" w:cs="Arial"/>
          <w:b/>
          <w:bCs/>
          <w:sz w:val="20"/>
          <w:szCs w:val="20"/>
        </w:rPr>
        <w:t>UgNLIS</w:t>
      </w:r>
      <w:r>
        <w:rPr>
          <w:rFonts w:eastAsia="Arial" w:cs="Arial"/>
          <w:sz w:val="20"/>
          <w:szCs w:val="20"/>
        </w:rPr>
        <w:t xml:space="preserve">  Uganda National Land Information System</w:t>
      </w:r>
    </w:p>
    <w:p>
      <w:pPr>
        <w:pStyle w:val="Normal"/>
        <w:spacing w:before="38" w:after="38"/>
        <w:rPr/>
      </w:pPr>
      <w:r>
        <w:rPr>
          <w:rFonts w:eastAsia="Arial" w:cs="Arial"/>
          <w:b/>
          <w:bCs/>
          <w:sz w:val="20"/>
          <w:szCs w:val="20"/>
        </w:rPr>
        <w:t>ULC</w:t>
      </w:r>
      <w:r>
        <w:rPr>
          <w:rFonts w:eastAsia="Arial" w:cs="Arial"/>
          <w:sz w:val="20"/>
          <w:szCs w:val="20"/>
        </w:rPr>
        <w:t xml:space="preserve">  Uganda Land Commission</w:t>
      </w:r>
    </w:p>
    <w:p>
      <w:pPr>
        <w:pStyle w:val="Normal"/>
        <w:spacing w:before="38" w:after="38"/>
        <w:rPr/>
      </w:pPr>
      <w:r>
        <w:rPr>
          <w:rFonts w:eastAsia="Arial" w:cs="Arial"/>
          <w:b/>
          <w:bCs/>
          <w:sz w:val="20"/>
          <w:szCs w:val="20"/>
        </w:rPr>
        <w:t>URA</w:t>
      </w:r>
      <w:r>
        <w:rPr>
          <w:rFonts w:eastAsia="Arial" w:cs="Arial"/>
          <w:sz w:val="20"/>
          <w:szCs w:val="20"/>
        </w:rPr>
        <w:t xml:space="preserve">  Uganda Revenue Authority</w:t>
      </w:r>
    </w:p>
    <w:p>
      <w:pPr>
        <w:pStyle w:val="Normal"/>
        <w:rPr/>
      </w:pPr>
      <w:r>
        <w:rPr/>
      </w:r>
      <w:r>
        <w:br w:type="page"/>
      </w:r>
    </w:p>
    <w:p>
      <w:pPr>
        <w:pStyle w:val="Heading1"/>
        <w:spacing w:before="0" w:after="100"/>
        <w:rPr/>
      </w:pPr>
      <w:r>
        <w:rPr>
          <w:rFonts w:eastAsia="Arial" w:cs="Arial" w:ascii="Arial" w:hAnsi="Arial"/>
          <w:b/>
          <w:bCs/>
          <w:sz w:val="24"/>
          <w:szCs w:val="24"/>
        </w:rPr>
        <w:t>1.0 INTRODUCTION</w:t>
      </w:r>
    </w:p>
    <w:p>
      <w:pPr>
        <w:pStyle w:val="Normal"/>
        <w:spacing w:before="60" w:after="60"/>
        <w:jc w:val="both"/>
        <w:rPr/>
      </w:pPr>
      <w:r>
        <w:rPr>
          <w:rFonts w:eastAsia="Arial" w:cs="Arial"/>
          <w:sz w:val="20"/>
          <w:szCs w:val="20"/>
        </w:rPr>
        <w:t>Uganda's land sector is one of the most significant barriers to economic development in the country. The Uganda National Land Policy [1] estimated that a majority of land is held without formal documentation, and disputes over ownership and valuation are among the most common sources of civil litigation. The government's UgNLIS portal [2] allows users to verify a title online by paying UGX 10,000 per search via mobile money and downloading a Search Letter confirming ownership and encumbrances. While this is a meaningful step, UgNLIS does not provide price intelligence, fraud risk analysis, GIS spatial context, or guidance through the legal transfer process that follows verification.</w:t>
      </w:r>
    </w:p>
    <w:p>
      <w:pPr>
        <w:pStyle w:val="Normal"/>
        <w:spacing w:before="40" w:after="40"/>
        <w:rPr/>
      </w:pPr>
      <w:r>
        <w:rPr/>
      </w:r>
    </w:p>
    <w:p>
      <w:pPr>
        <w:pStyle w:val="Normal"/>
        <w:spacing w:before="60" w:after="60"/>
        <w:jc w:val="both"/>
        <w:rPr/>
      </w:pPr>
      <w:r>
        <w:rPr>
          <w:rFonts w:eastAsia="Arial" w:cs="Arial"/>
          <w:sz w:val="20"/>
          <w:szCs w:val="20"/>
        </w:rPr>
        <w:t>This project proposes PlotSure — an intelligent layer built on top of UgNLIS that enriches official title data with GIS spatial analysis, remote sensing features, machine learning price prediction, graph-based fraud detection, and blockchain certificate hashing. The research title is: Using Artificial Intelligence and GIS to Improve Land Title Verification and Reduce Land Fraud in Uganda.</w:t>
      </w:r>
    </w:p>
    <w:p>
      <w:pPr>
        <w:pStyle w:val="Heading1"/>
        <w:spacing w:before="200" w:after="100"/>
        <w:rPr/>
      </w:pPr>
      <w:r>
        <w:rPr>
          <w:rFonts w:eastAsia="Arial" w:cs="Arial" w:ascii="Arial" w:hAnsi="Arial"/>
          <w:b/>
          <w:bCs/>
          <w:sz w:val="24"/>
          <w:szCs w:val="24"/>
        </w:rPr>
        <w:t>2.0 BACKGROUND TO THE STUDY</w:t>
      </w:r>
    </w:p>
    <w:p>
      <w:pPr>
        <w:pStyle w:val="Normal"/>
        <w:spacing w:before="60" w:after="60"/>
        <w:jc w:val="both"/>
        <w:rPr/>
      </w:pPr>
      <w:r>
        <w:rPr>
          <w:rFonts w:eastAsia="Arial" w:cs="Arial"/>
          <w:sz w:val="20"/>
          <w:szCs w:val="20"/>
        </w:rPr>
        <w:t>Uganda's land administration system is governed by the Land Act of 1998 and managed by the Uganda Land Commission, District Land Boards, and the Ministry of Lands. Despite UgNLIS's existence, a significant proportion of land in Kampala still changes hands informally. The Uganda Bureau of Statistics [3] has reported that land disputes are disproportionately represented in the civil court system, many rooted in forged titles, multiple sales of the same plot, and undisclosed encumbrances such as mortgages and court caveats.</w:t>
      </w:r>
    </w:p>
    <w:p>
      <w:pPr>
        <w:pStyle w:val="Normal"/>
        <w:spacing w:before="40" w:after="40"/>
        <w:rPr/>
      </w:pPr>
      <w:r>
        <w:rPr/>
      </w:r>
    </w:p>
    <w:p>
      <w:pPr>
        <w:pStyle w:val="Normal"/>
        <w:spacing w:before="60" w:after="60"/>
        <w:jc w:val="both"/>
        <w:rPr/>
      </w:pPr>
      <w:r>
        <w:rPr>
          <w:rFonts w:eastAsia="Arial" w:cs="Arial"/>
          <w:sz w:val="20"/>
          <w:szCs w:val="20"/>
        </w:rPr>
        <w:t>From a technical perspective, the conditions for a GIS-driven land intelligence platform already exist. Satellite imagery for neighbourhood-level remote sensing is freely available. Mobile and internet penetration in Kampala supports a web-based tool. In East Africa, Kenya's Ardhisasa platform [4] demonstrated that digital land services reduce fraud and processing time, but it remains a government registry system without AI analysis or GIS enrichment. PlotSure is designed to address these gaps as a privately built intelligence layer on top of the existing government infrastructure.</w:t>
      </w:r>
    </w:p>
    <w:p>
      <w:pPr>
        <w:pStyle w:val="Heading1"/>
        <w:spacing w:before="200" w:after="100"/>
        <w:rPr/>
      </w:pPr>
      <w:r>
        <w:rPr>
          <w:rFonts w:eastAsia="Arial" w:cs="Arial" w:ascii="Arial" w:hAnsi="Arial"/>
          <w:b/>
          <w:bCs/>
          <w:sz w:val="24"/>
          <w:szCs w:val="24"/>
        </w:rPr>
        <w:t>3.0 PROBLEM STATEMENT</w:t>
      </w:r>
    </w:p>
    <w:p>
      <w:pPr>
        <w:pStyle w:val="Normal"/>
        <w:spacing w:before="60" w:after="60"/>
        <w:jc w:val="both"/>
        <w:rPr/>
      </w:pPr>
      <w:r>
        <w:rPr>
          <w:rFonts w:eastAsia="Arial" w:cs="Arial"/>
          <w:sz w:val="20"/>
          <w:szCs w:val="20"/>
        </w:rPr>
        <w:t>Uganda's UgNLIS portal confirms legal ownership but provides no analytical intelligence about whether that ownership history is suspicious, whether the asking price is fair, or whether the title carries hidden encumbrances the seller has not disclosed. Buyers who complete a UgNLIS search receive a legal document but no fraud risk assessment, no price benchmark, no GIS spatial context, and no guidance on completing the legal transfer. Beyond UgNLIS, no locally built platform integrates GIS spatial analysis, remote sensing, ML anomaly detection, and graph-based fraud intelligence in a single accessible workflow.</w:t>
      </w:r>
    </w:p>
    <w:p>
      <w:pPr>
        <w:pStyle w:val="Normal"/>
        <w:spacing w:before="40" w:after="40"/>
        <w:rPr/>
      </w:pPr>
      <w:r>
        <w:rPr/>
      </w:r>
    </w:p>
    <w:p>
      <w:pPr>
        <w:pStyle w:val="Normal"/>
        <w:spacing w:before="60" w:after="60"/>
        <w:jc w:val="both"/>
        <w:rPr/>
      </w:pPr>
      <w:r>
        <w:rPr>
          <w:rFonts w:eastAsia="Arial" w:cs="Arial"/>
          <w:sz w:val="20"/>
          <w:szCs w:val="20"/>
        </w:rPr>
        <w:t>This project addresses the question: how can Artificial Intelligence and GIS be applied to Uganda's land title verification process to improve fraud detection, provide locally calibrated price intelligence enriched with remote sensing data, and reduce the information asymmetry that makes land transactions unnecessarily risky for buyers, sellers, and financiers?</w:t>
      </w:r>
    </w:p>
    <w:p>
      <w:pPr>
        <w:pStyle w:val="Heading1"/>
        <w:spacing w:before="200" w:after="100"/>
        <w:rPr/>
      </w:pPr>
      <w:r>
        <w:rPr>
          <w:rFonts w:eastAsia="Arial" w:cs="Arial" w:ascii="Arial" w:hAnsi="Arial"/>
          <w:b/>
          <w:bCs/>
          <w:sz w:val="24"/>
          <w:szCs w:val="24"/>
        </w:rPr>
        <w:t>4.0 OBJECTIVES OF THE STUDY</w:t>
      </w:r>
    </w:p>
    <w:p>
      <w:pPr>
        <w:pStyle w:val="Heading2"/>
        <w:spacing w:before="160" w:after="80"/>
        <w:rPr/>
      </w:pPr>
      <w:r>
        <w:rPr>
          <w:rFonts w:eastAsia="Arial" w:cs="Arial" w:ascii="Arial" w:hAnsi="Arial"/>
          <w:b/>
          <w:bCs/>
          <w:sz w:val="21"/>
          <w:szCs w:val="21"/>
        </w:rPr>
        <w:t>4.1 Main Objective</w:t>
      </w:r>
    </w:p>
    <w:p>
      <w:pPr>
        <w:pStyle w:val="Normal"/>
        <w:spacing w:before="60" w:after="60"/>
        <w:jc w:val="both"/>
        <w:rPr/>
      </w:pPr>
      <w:r>
        <w:rPr>
          <w:rFonts w:eastAsia="Arial" w:cs="Arial"/>
          <w:sz w:val="20"/>
          <w:szCs w:val="20"/>
        </w:rPr>
        <w:t>To design, develop, and deploy PlotSure — a platform that uses AI and GIS to improve land title verification and reduce land fraud in Uganda — by integrating with UgNLIS, applying remote sensing and GIS spatial analysis to price prediction, using ML anomaly detection and graph intelligence for fraud risk scoring, and generating blockchain-hashed valuation certificates through a secure web-based dashboard.</w:t>
      </w:r>
    </w:p>
    <w:p>
      <w:pPr>
        <w:pStyle w:val="Heading2"/>
        <w:spacing w:before="160" w:after="80"/>
        <w:rPr/>
      </w:pPr>
      <w:r>
        <w:rPr>
          <w:rFonts w:eastAsia="Arial" w:cs="Arial" w:ascii="Arial" w:hAnsi="Arial"/>
          <w:b/>
          <w:bCs/>
          <w:sz w:val="21"/>
          <w:szCs w:val="21"/>
        </w:rPr>
        <w:t>4.2 Specific Objectives</w:t>
      </w:r>
    </w:p>
    <w:p>
      <w:pPr>
        <w:pStyle w:val="ListParagraph"/>
        <w:numPr>
          <w:ilvl w:val="0"/>
          <w:numId w:val="9"/>
        </w:numPr>
        <w:spacing w:before="48" w:after="48"/>
        <w:rPr/>
      </w:pPr>
      <w:r>
        <w:rPr>
          <w:rFonts w:eastAsia="Arial" w:cs="Arial"/>
          <w:sz w:val="20"/>
          <w:szCs w:val="20"/>
        </w:rPr>
        <w:t>To integrate with Uganda's official UgNLIS land registry to retrieve verified ownership records, encumbrance data, and transaction history as the authoritative data source for all PlotSure assessments.</w:t>
      </w:r>
    </w:p>
    <w:p>
      <w:pPr>
        <w:pStyle w:val="ListParagraph"/>
        <w:numPr>
          <w:ilvl w:val="0"/>
          <w:numId w:val="1"/>
        </w:numPr>
        <w:spacing w:before="48" w:after="48"/>
        <w:rPr/>
      </w:pPr>
      <w:r>
        <w:rPr>
          <w:rFonts w:eastAsia="Arial" w:cs="Arial"/>
          <w:sz w:val="20"/>
          <w:szCs w:val="20"/>
        </w:rPr>
        <w:t>To develop a GIS-enriched machine learning price prediction engine using remote sensing indicators — including road proximity, building density, and land cover classification from satellite imagery — to generate locally calibrated land valuations for Kampala.</w:t>
      </w:r>
    </w:p>
    <w:p>
      <w:pPr>
        <w:pStyle w:val="ListParagraph"/>
        <w:numPr>
          <w:ilvl w:val="0"/>
          <w:numId w:val="1"/>
        </w:numPr>
        <w:spacing w:before="48" w:after="48"/>
        <w:rPr/>
      </w:pPr>
      <w:r>
        <w:rPr>
          <w:rFonts w:eastAsia="Arial" w:cs="Arial"/>
          <w:sz w:val="20"/>
          <w:szCs w:val="20"/>
        </w:rPr>
        <w:t>To build a Neo4j graph-based ownership risk scanner that applies machine learning anomaly detection and Cypher query patterns to identify suspicious transactions, hidden encumbrances, and fraud-indicative ownership relationships.</w:t>
      </w:r>
    </w:p>
    <w:p>
      <w:pPr>
        <w:pStyle w:val="ListParagraph"/>
        <w:numPr>
          <w:ilvl w:val="0"/>
          <w:numId w:val="1"/>
        </w:numPr>
        <w:spacing w:before="48" w:after="48"/>
        <w:rPr/>
      </w:pPr>
      <w:r>
        <w:rPr>
          <w:rFonts w:eastAsia="Arial" w:cs="Arial"/>
          <w:sz w:val="20"/>
          <w:szCs w:val="20"/>
        </w:rPr>
        <w:t>To generate tamper-evident blockchain-hashed valuation certificates and evaluate the platform against defined criteria for correctness, fraud detection accuracy, and usability through structured user acceptance testing.</w:t>
      </w:r>
    </w:p>
    <w:p>
      <w:pPr>
        <w:pStyle w:val="Heading1"/>
        <w:spacing w:before="200" w:after="100"/>
        <w:rPr/>
      </w:pPr>
      <w:r>
        <w:rPr>
          <w:rFonts w:eastAsia="Arial" w:cs="Arial" w:ascii="Arial" w:hAnsi="Arial"/>
          <w:b/>
          <w:bCs/>
          <w:sz w:val="24"/>
          <w:szCs w:val="24"/>
        </w:rPr>
        <w:t>5.0 RESEARCH QUESTIONS</w:t>
      </w:r>
    </w:p>
    <w:p>
      <w:pPr>
        <w:pStyle w:val="ListParagraph"/>
        <w:numPr>
          <w:ilvl w:val="0"/>
          <w:numId w:val="10"/>
        </w:numPr>
        <w:spacing w:before="50" w:after="50"/>
        <w:rPr/>
      </w:pPr>
      <w:r>
        <w:rPr>
          <w:rFonts w:eastAsia="Arial" w:cs="Arial"/>
          <w:sz w:val="20"/>
          <w:szCs w:val="20"/>
        </w:rPr>
        <w:t>How can GIS spatial analysis and remote sensing indicators be incorporated into a machine learning model to improve the accuracy and local relevance of land price predictions in Kampala?</w:t>
      </w:r>
    </w:p>
    <w:p>
      <w:pPr>
        <w:pStyle w:val="ListParagraph"/>
        <w:numPr>
          <w:ilvl w:val="0"/>
          <w:numId w:val="2"/>
        </w:numPr>
        <w:spacing w:before="50" w:after="50"/>
        <w:rPr/>
      </w:pPr>
      <w:r>
        <w:rPr>
          <w:rFonts w:eastAsia="Arial" w:cs="Arial"/>
          <w:sz w:val="20"/>
          <w:szCs w:val="20"/>
        </w:rPr>
        <w:t>What ML anomaly detection techniques and graph query patterns are most effective for identifying fraud-indicative ownership relationships and hidden encumbrances in Uganda's land registry data?</w:t>
      </w:r>
    </w:p>
    <w:p>
      <w:pPr>
        <w:pStyle w:val="ListParagraph"/>
        <w:numPr>
          <w:ilvl w:val="0"/>
          <w:numId w:val="2"/>
        </w:numPr>
        <w:spacing w:before="50" w:after="50"/>
        <w:rPr/>
      </w:pPr>
      <w:r>
        <w:rPr>
          <w:rFonts w:eastAsia="Arial" w:cs="Arial"/>
          <w:sz w:val="20"/>
          <w:szCs w:val="20"/>
        </w:rPr>
        <w:t>To what extent does integrating UgNLIS official title data with AI price intelligence, GIS spatial analysis, and blockchain-hashed certification reduce information asymmetry and improve user confidence in land transactions in Uganda?</w:t>
      </w:r>
    </w:p>
    <w:p>
      <w:pPr>
        <w:pStyle w:val="Heading1"/>
        <w:spacing w:before="200" w:after="100"/>
        <w:rPr/>
      </w:pPr>
      <w:r>
        <w:rPr>
          <w:rFonts w:eastAsia="Arial" w:cs="Arial" w:ascii="Arial" w:hAnsi="Arial"/>
          <w:b/>
          <w:bCs/>
          <w:sz w:val="24"/>
          <w:szCs w:val="24"/>
        </w:rPr>
        <w:t>6.0 SCOPE OF THE STUDY</w:t>
      </w:r>
    </w:p>
    <w:p>
      <w:pPr>
        <w:pStyle w:val="Heading2"/>
        <w:spacing w:before="160" w:after="80"/>
        <w:rPr/>
      </w:pPr>
      <w:r>
        <w:rPr>
          <w:rFonts w:eastAsia="Arial" w:cs="Arial" w:ascii="Arial" w:hAnsi="Arial"/>
          <w:b/>
          <w:bCs/>
          <w:sz w:val="21"/>
          <w:szCs w:val="21"/>
        </w:rPr>
        <w:t>6.1 Geographical Scope</w:t>
      </w:r>
    </w:p>
    <w:p>
      <w:pPr>
        <w:pStyle w:val="Normal"/>
        <w:spacing w:before="60" w:after="60"/>
        <w:jc w:val="both"/>
        <w:rPr/>
      </w:pPr>
      <w:r>
        <w:rPr>
          <w:rFonts w:eastAsia="Arial" w:cs="Arial"/>
          <w:sz w:val="20"/>
          <w:szCs w:val="20"/>
        </w:rPr>
        <w:t>Development and testing will be limited to Kampala, which has the highest concentration of formal land transactions, the densest GIS and spatial reference data, and the strongest UgNLIS adoption in Uganda. The architecture supports future expansion to other urban centres.</w:t>
      </w:r>
    </w:p>
    <w:p>
      <w:pPr>
        <w:pStyle w:val="Heading2"/>
        <w:spacing w:before="160" w:after="80"/>
        <w:rPr/>
      </w:pPr>
      <w:r>
        <w:rPr>
          <w:rFonts w:eastAsia="Arial" w:cs="Arial" w:ascii="Arial" w:hAnsi="Arial"/>
          <w:b/>
          <w:bCs/>
          <w:sz w:val="21"/>
          <w:szCs w:val="21"/>
        </w:rPr>
        <w:t>6.2 Content Scope</w:t>
      </w:r>
    </w:p>
    <w:p>
      <w:pPr>
        <w:pStyle w:val="Normal"/>
        <w:spacing w:before="60" w:after="60"/>
        <w:jc w:val="both"/>
        <w:rPr/>
      </w:pPr>
      <w:r>
        <w:rPr>
          <w:rFonts w:eastAsia="Arial" w:cs="Arial"/>
          <w:sz w:val="20"/>
          <w:szCs w:val="20"/>
        </w:rPr>
        <w:t>The study covers the full design, development, and deployment of PlotSure, comprising the UgNLIS integration module, GIS-enriched AI price engine, Neo4j graph scanner with ML anomaly detection, blockchain certificate system, stamp duty calculator, document checklist, FastAPI backend, PostgreSQL database, and Streamlit dashboard. Direct court records integration and Polygon mainnet deployment are deferred to a future phase.</w:t>
      </w:r>
    </w:p>
    <w:p>
      <w:pPr>
        <w:pStyle w:val="Heading2"/>
        <w:spacing w:before="160" w:after="80"/>
        <w:rPr/>
      </w:pPr>
      <w:r>
        <w:rPr>
          <w:rFonts w:eastAsia="Arial" w:cs="Arial" w:ascii="Arial" w:hAnsi="Arial"/>
          <w:b/>
          <w:bCs/>
          <w:sz w:val="21"/>
          <w:szCs w:val="21"/>
        </w:rPr>
        <w:t>6.3 Time Scope</w:t>
      </w:r>
    </w:p>
    <w:p>
      <w:pPr>
        <w:pStyle w:val="Normal"/>
        <w:spacing w:before="60" w:after="60"/>
        <w:jc w:val="both"/>
        <w:rPr/>
      </w:pPr>
      <w:r>
        <w:rPr>
          <w:rFonts w:eastAsia="Arial" w:cs="Arial"/>
          <w:sz w:val="20"/>
          <w:szCs w:val="20"/>
        </w:rPr>
        <w:t>The study runs from March 2026 to May 2026, covering requirements analysis through deployment, testing, and final report submission.</w:t>
      </w:r>
    </w:p>
    <w:p>
      <w:pPr>
        <w:pStyle w:val="Heading1"/>
        <w:spacing w:before="200" w:after="100"/>
        <w:rPr/>
      </w:pPr>
      <w:r>
        <w:rPr>
          <w:rFonts w:eastAsia="Arial" w:cs="Arial" w:ascii="Arial" w:hAnsi="Arial"/>
          <w:b/>
          <w:bCs/>
          <w:sz w:val="24"/>
          <w:szCs w:val="24"/>
        </w:rPr>
        <w:t>7.0 SIGNIFICANCE OF THE STUDY</w:t>
      </w:r>
    </w:p>
    <w:p>
      <w:pPr>
        <w:pStyle w:val="Heading2"/>
        <w:spacing w:before="160" w:after="80"/>
        <w:rPr/>
      </w:pPr>
      <w:r>
        <w:rPr>
          <w:rFonts w:eastAsia="Arial" w:cs="Arial" w:ascii="Arial" w:hAnsi="Arial"/>
          <w:b/>
          <w:bCs/>
          <w:sz w:val="21"/>
          <w:szCs w:val="21"/>
        </w:rPr>
        <w:t>7.1 To Land Buyers and Sellers</w:t>
      </w:r>
    </w:p>
    <w:p>
      <w:pPr>
        <w:pStyle w:val="Normal"/>
        <w:spacing w:before="60" w:after="60"/>
        <w:jc w:val="both"/>
        <w:rPr/>
      </w:pPr>
      <w:r>
        <w:rPr>
          <w:rFonts w:eastAsia="Arial" w:cs="Arial"/>
          <w:sz w:val="20"/>
          <w:szCs w:val="20"/>
        </w:rPr>
        <w:t>PlotSure transforms a UgNLIS search from a simple ownership confirmation into a full intelligence assessment: GIS-enriched price estimate, ML anomaly score, graph fraud risk score, stamp duty breakdown, and personalised document checklist — all in one workflow.</w:t>
      </w:r>
    </w:p>
    <w:p>
      <w:pPr>
        <w:pStyle w:val="Heading2"/>
        <w:spacing w:before="160" w:after="80"/>
        <w:rPr/>
      </w:pPr>
      <w:r>
        <w:rPr>
          <w:rFonts w:eastAsia="Arial" w:cs="Arial" w:ascii="Arial" w:hAnsi="Arial"/>
          <w:b/>
          <w:bCs/>
          <w:sz w:val="21"/>
          <w:szCs w:val="21"/>
        </w:rPr>
        <w:t>7.2 To Financial Institutions</w:t>
      </w:r>
    </w:p>
    <w:p>
      <w:pPr>
        <w:pStyle w:val="Normal"/>
        <w:spacing w:before="60" w:after="60"/>
        <w:jc w:val="both"/>
        <w:rPr/>
      </w:pPr>
      <w:r>
        <w:rPr>
          <w:rFonts w:eastAsia="Arial" w:cs="Arial"/>
          <w:sz w:val="20"/>
          <w:szCs w:val="20"/>
        </w:rPr>
        <w:t>Banks, microfinance institutions, and SACCOs gain an independent AI and GIS-powered valuation tool that complements due diligence. A blockchain-hashed certificate verifiable without contacting PlotSure reduces document tampering risk in loan applications.</w:t>
      </w:r>
    </w:p>
    <w:p>
      <w:pPr>
        <w:pStyle w:val="Heading2"/>
        <w:spacing w:before="160" w:after="80"/>
        <w:rPr/>
      </w:pPr>
      <w:r>
        <w:rPr>
          <w:rFonts w:eastAsia="Arial" w:cs="Arial" w:ascii="Arial" w:hAnsi="Arial"/>
          <w:b/>
          <w:bCs/>
          <w:sz w:val="21"/>
          <w:szCs w:val="21"/>
        </w:rPr>
        <w:t>7.3 To Researchers and Future Students</w:t>
      </w:r>
    </w:p>
    <w:p>
      <w:pPr>
        <w:pStyle w:val="Normal"/>
        <w:spacing w:before="60" w:after="60"/>
        <w:jc w:val="both"/>
        <w:rPr/>
      </w:pPr>
      <w:r>
        <w:rPr>
          <w:rFonts w:eastAsia="Arial" w:cs="Arial"/>
          <w:sz w:val="20"/>
          <w:szCs w:val="20"/>
        </w:rPr>
        <w:t>PlotSure produces a documented case study of applying GIS spatial analysis, remote sensing, ML anomaly detection, graph intelligence, and blockchain integrity to a land administration problem in an emerging economy. The assembled Kampala land transaction dataset enriched with satellite-derived spatial features will provide a foundation for future researchers working on property technology, digital fraud detection, and GIS applications in sub-Saharan Africa.</w:t>
      </w:r>
    </w:p>
    <w:p>
      <w:pPr>
        <w:pStyle w:val="Heading2"/>
        <w:spacing w:before="160" w:after="80"/>
        <w:rPr/>
      </w:pPr>
      <w:r>
        <w:rPr>
          <w:rFonts w:eastAsia="Arial" w:cs="Arial" w:ascii="Arial" w:hAnsi="Arial"/>
          <w:b/>
          <w:bCs/>
          <w:sz w:val="21"/>
          <w:szCs w:val="21"/>
        </w:rPr>
        <w:t>7.4 To Policy and Industry</w:t>
      </w:r>
    </w:p>
    <w:p>
      <w:pPr>
        <w:pStyle w:val="Normal"/>
        <w:spacing w:before="60" w:after="60"/>
        <w:jc w:val="both"/>
        <w:rPr/>
      </w:pPr>
      <w:r>
        <w:rPr>
          <w:rFonts w:eastAsia="Arial" w:cs="Arial"/>
          <w:sz w:val="20"/>
          <w:szCs w:val="20"/>
        </w:rPr>
        <w:t>The project demonstrates a practical model for how privately built AI and GIS tools can extend the reach and analytical intelligence of government land systems like UgNLIS without replacing them. This is directly relevant to the Ministry of Lands as it develops its digital services roadmap and to technology companies assessing the proptech opportunity in East Africa. The blockchain certificate model also contributes to policy conversations about digital evidence standards in land dispute resolution.</w:t>
      </w:r>
    </w:p>
    <w:p>
      <w:pPr>
        <w:pStyle w:val="Normal"/>
        <w:rPr/>
      </w:pPr>
      <w:r>
        <w:rPr/>
      </w:r>
      <w:r>
        <w:br w:type="page"/>
      </w:r>
    </w:p>
    <w:p>
      <w:pPr>
        <w:pStyle w:val="Heading1"/>
        <w:spacing w:before="0" w:after="100"/>
        <w:rPr/>
      </w:pPr>
      <w:r>
        <w:rPr>
          <w:rFonts w:eastAsia="Arial" w:cs="Arial" w:ascii="Arial" w:hAnsi="Arial"/>
          <w:b/>
          <w:bCs/>
          <w:sz w:val="24"/>
          <w:szCs w:val="24"/>
        </w:rPr>
        <w:t>8.0 LITERATURE REVIEW</w:t>
      </w:r>
    </w:p>
    <w:p>
      <w:pPr>
        <w:pStyle w:val="Heading2"/>
        <w:spacing w:before="160" w:after="80"/>
        <w:rPr/>
      </w:pPr>
      <w:r>
        <w:rPr>
          <w:rFonts w:eastAsia="Arial" w:cs="Arial" w:ascii="Arial" w:hAnsi="Arial"/>
          <w:b/>
          <w:bCs/>
          <w:sz w:val="21"/>
          <w:szCs w:val="21"/>
        </w:rPr>
        <w:t>8.1 Land Markets and Information Asymmetry</w:t>
      </w:r>
    </w:p>
    <w:p>
      <w:pPr>
        <w:pStyle w:val="Normal"/>
        <w:spacing w:before="60" w:after="60"/>
        <w:jc w:val="both"/>
        <w:rPr/>
      </w:pPr>
      <w:r>
        <w:rPr>
          <w:rFonts w:eastAsia="Arial" w:cs="Arial"/>
          <w:sz w:val="20"/>
          <w:szCs w:val="20"/>
        </w:rPr>
        <w:t>Akerlof [5] demonstrated that asymmetric information drives low-quality assets to dominate markets while high-quality assets are undervalued — a pattern visible in Uganda's land market where forged titles circulate alongside legitimate ones. Without confidence in ownership security, buyers apply large risk discounts and transactions fail to reflect true value. Reducing information asymmetry through independent AI and GIS-driven assessment is PlotSure's primary value proposition.</w:t>
      </w:r>
    </w:p>
    <w:p>
      <w:pPr>
        <w:pStyle w:val="Heading2"/>
        <w:spacing w:before="160" w:after="80"/>
        <w:rPr/>
      </w:pPr>
      <w:r>
        <w:rPr>
          <w:rFonts w:eastAsia="Arial" w:cs="Arial" w:ascii="Arial" w:hAnsi="Arial"/>
          <w:b/>
          <w:bCs/>
          <w:sz w:val="21"/>
          <w:szCs w:val="21"/>
        </w:rPr>
        <w:t>8.2 GIS, Remote Sensing, and Property Valuation</w:t>
      </w:r>
    </w:p>
    <w:p>
      <w:pPr>
        <w:pStyle w:val="Normal"/>
        <w:spacing w:before="60" w:after="60"/>
        <w:jc w:val="both"/>
        <w:rPr/>
      </w:pPr>
      <w:r>
        <w:rPr>
          <w:rFonts w:eastAsia="Arial" w:cs="Arial"/>
          <w:sz w:val="20"/>
          <w:szCs w:val="20"/>
        </w:rPr>
        <w:t>Geographic Information Systems have been widely applied to land administration and property valuation. Longley et al. [6] documented how GIS-based spatial data integration substantially improves land information system accuracy by capturing locational context that purely document-based systems miss. Remote sensing — extracting land surface information from satellite imagery — provides key valuation inputs including land cover classification, built-up area density, and infrastructure proximity. For the Kampala market, where transaction datasets are sparse, incorporating GIS-derived remote sensing indicators directly addresses the data scarcity challenge and provides spatial grounding that makes valuations credible to local users.</w:t>
      </w:r>
    </w:p>
    <w:p>
      <w:pPr>
        <w:pStyle w:val="Heading2"/>
        <w:spacing w:before="160" w:after="80"/>
        <w:rPr/>
      </w:pPr>
      <w:r>
        <w:rPr>
          <w:rFonts w:eastAsia="Arial" w:cs="Arial" w:ascii="Arial" w:hAnsi="Arial"/>
          <w:b/>
          <w:bCs/>
          <w:sz w:val="21"/>
          <w:szCs w:val="21"/>
        </w:rPr>
        <w:t>8.3 Machine Learning for Price Prediction and Anomaly Detection</w:t>
      </w:r>
    </w:p>
    <w:p>
      <w:pPr>
        <w:pStyle w:val="Normal"/>
        <w:spacing w:before="60" w:after="60"/>
        <w:jc w:val="both"/>
        <w:rPr/>
      </w:pPr>
      <w:r>
        <w:rPr>
          <w:rFonts w:eastAsia="Arial" w:cs="Arial"/>
          <w:sz w:val="20"/>
          <w:szCs w:val="20"/>
        </w:rPr>
        <w:t>Limsombunchai [7] demonstrated that machine learning models outperform traditional hedonic pricing when appropriate spatial features are engineered. Pow, Janulewicz, and Liu [8] showed that GIS-derived spatial context variables can substitute for transaction volume in thin markets. Beyond price prediction, ML anomaly detection algorithms such as Isolation Forest identify records that deviate significantly from expected patterns — in land ownership, these include abnormally short ownership durations, price sequences deviating from local trends, and transfer frequency inconsistent with normal market behaviour.</w:t>
      </w:r>
    </w:p>
    <w:p>
      <w:pPr>
        <w:pStyle w:val="Heading2"/>
        <w:spacing w:before="160" w:after="80"/>
        <w:rPr/>
      </w:pPr>
      <w:r>
        <w:rPr>
          <w:rFonts w:eastAsia="Arial" w:cs="Arial" w:ascii="Arial" w:hAnsi="Arial"/>
          <w:b/>
          <w:bCs/>
          <w:sz w:val="21"/>
          <w:szCs w:val="21"/>
        </w:rPr>
        <w:t>8.4 Graph-Based Fraud Detection</w:t>
      </w:r>
    </w:p>
    <w:p>
      <w:pPr>
        <w:pStyle w:val="Normal"/>
        <w:spacing w:before="60" w:after="60"/>
        <w:jc w:val="both"/>
        <w:rPr/>
      </w:pPr>
      <w:r>
        <w:rPr>
          <w:rFonts w:eastAsia="Arial" w:cs="Arial"/>
          <w:sz w:val="20"/>
          <w:szCs w:val="20"/>
        </w:rPr>
        <w:t>Pourhabibi et al. [9] found that graph traversal with pattern-matching queries produces substantially higher fraud recall than attribute-based classifiers alone, because complex fraud involves multi-hop relationships invisible in tabular data. Robinson et al. [10] show that Neo4j's Cypher language is particularly suited to this task. PlotSure combines both layers: ML anomaly detection flags individual suspicious records, while Cypher queries surface the relational patterns — circular ownership chains, shared brokers, connected disputed plots — that confirm the anomalies.</w:t>
      </w:r>
    </w:p>
    <w:p>
      <w:pPr>
        <w:pStyle w:val="Heading2"/>
        <w:spacing w:before="160" w:after="80"/>
        <w:rPr/>
      </w:pPr>
      <w:r>
        <w:rPr>
          <w:rFonts w:eastAsia="Arial" w:cs="Arial" w:ascii="Arial" w:hAnsi="Arial"/>
          <w:b/>
          <w:bCs/>
          <w:sz w:val="21"/>
          <w:szCs w:val="21"/>
        </w:rPr>
        <w:t>8.5 Blockchain for Document Integrity</w:t>
      </w:r>
    </w:p>
    <w:p>
      <w:pPr>
        <w:pStyle w:val="Normal"/>
        <w:spacing w:before="60" w:after="60"/>
        <w:jc w:val="both"/>
        <w:rPr/>
      </w:pPr>
      <w:r>
        <w:rPr>
          <w:rFonts w:eastAsia="Arial" w:cs="Arial"/>
          <w:sz w:val="20"/>
          <w:szCs w:val="20"/>
        </w:rPr>
        <w:t>Vos, Lemmen, and Beentjes [11] found that lightweight blockchain implementations storing only document hashes on-chain provide meaningful protection against forgery in land registry contexts. PlotSure generates a SHA-256 hash of each completed certificate and records it on a local node or Polygon testnet, producing a verifiable fingerprint any third party can use to confirm authenticity without accessing PlotSure — directly countering Uganda's well-documented problem of document tampering after the fact.</w:t>
      </w:r>
    </w:p>
    <w:p>
      <w:pPr>
        <w:pStyle w:val="Heading2"/>
        <w:spacing w:before="160" w:after="80"/>
        <w:rPr/>
      </w:pPr>
      <w:r>
        <w:rPr>
          <w:rFonts w:eastAsia="Arial" w:cs="Arial" w:ascii="Arial" w:hAnsi="Arial"/>
          <w:b/>
          <w:bCs/>
          <w:sz w:val="21"/>
          <w:szCs w:val="21"/>
        </w:rPr>
        <w:t>8.6 Existing Solutions and the Identified Gap</w:t>
      </w:r>
    </w:p>
    <w:p>
      <w:pPr>
        <w:pStyle w:val="Normal"/>
        <w:spacing w:before="60" w:after="60"/>
        <w:jc w:val="both"/>
        <w:rPr/>
      </w:pPr>
      <w:r>
        <w:rPr>
          <w:rFonts w:eastAsia="Arial" w:cs="Arial"/>
          <w:sz w:val="20"/>
          <w:szCs w:val="20"/>
        </w:rPr>
        <w:t>The World Bank Land Governance Assessment Framework [12] identified Uganda among countries with the greatest need for improved land information systems. UgNLIS provides official title verification but no analytical intelligence. No locally built private-sector platform currently integrates UgNLIS data with GIS spatial analysis, remote sensing, ML anomaly detection, graph fraud intelligence, and blockchain certificate hashing in a single workflow. PlotSure addresses this clearly defined gap.</w:t>
      </w:r>
    </w:p>
    <w:p>
      <w:pPr>
        <w:pStyle w:val="Heading1"/>
        <w:spacing w:before="200" w:after="100"/>
        <w:rPr/>
      </w:pPr>
      <w:r>
        <w:rPr>
          <w:rFonts w:eastAsia="Arial" w:cs="Arial" w:ascii="Arial" w:hAnsi="Arial"/>
          <w:b/>
          <w:bCs/>
          <w:sz w:val="24"/>
          <w:szCs w:val="24"/>
        </w:rPr>
        <w:t>9.0 METHODOLOGY</w:t>
      </w:r>
    </w:p>
    <w:p>
      <w:pPr>
        <w:pStyle w:val="Heading2"/>
        <w:spacing w:before="160" w:after="80"/>
        <w:rPr/>
      </w:pPr>
      <w:r>
        <w:rPr>
          <w:rFonts w:eastAsia="Arial" w:cs="Arial" w:ascii="Arial" w:hAnsi="Arial"/>
          <w:b/>
          <w:bCs/>
          <w:sz w:val="21"/>
          <w:szCs w:val="21"/>
        </w:rPr>
        <w:t>9.1 Research Design</w:t>
      </w:r>
    </w:p>
    <w:p>
      <w:pPr>
        <w:pStyle w:val="Normal"/>
        <w:spacing w:before="60" w:after="60"/>
        <w:jc w:val="both"/>
        <w:rPr/>
      </w:pPr>
      <w:r>
        <w:rPr>
          <w:rFonts w:eastAsia="Arial" w:cs="Arial"/>
          <w:sz w:val="20"/>
          <w:szCs w:val="20"/>
        </w:rPr>
        <w:t>This project adopts the Design Science Research paradigm as articulated by Hevner et al. [13], suited to IS research producing a concrete artefact addressing a specific practical problem. PlotSure's effectiveness will be evaluated against criteria for functional correctness, GIS prediction accuracy, fraud detection accuracy, and usability. DSR is chosen because this project's contribution lies in what is built and whether it works.</w:t>
      </w:r>
    </w:p>
    <w:p>
      <w:pPr>
        <w:pStyle w:val="Heading2"/>
        <w:spacing w:before="160" w:after="80"/>
        <w:rPr/>
      </w:pPr>
      <w:r>
        <w:rPr>
          <w:rFonts w:eastAsia="Arial" w:cs="Arial" w:ascii="Arial" w:hAnsi="Arial"/>
          <w:b/>
          <w:bCs/>
          <w:sz w:val="21"/>
          <w:szCs w:val="21"/>
        </w:rPr>
        <w:t>9.2 System Architecture and Development</w:t>
      </w:r>
    </w:p>
    <w:p>
      <w:pPr>
        <w:pStyle w:val="Normal"/>
        <w:spacing w:before="60" w:after="60"/>
        <w:jc w:val="both"/>
        <w:rPr/>
      </w:pPr>
      <w:r>
        <w:rPr>
          <w:rFonts w:eastAsia="Arial" w:cs="Arial"/>
          <w:sz w:val="20"/>
          <w:szCs w:val="20"/>
        </w:rPr>
        <w:t>Development follows Agile Scrum [14] in two-to-three-week sprints. The system follows a three-tier architecture: a Streamlit frontend dashboard with GIS map view, a FastAPI backend, and dual data stores of PostgreSQL for structured data and Neo4j for the ownership graph. Core entities are Plots, Owners, Transactions, Encumbrances, Certificates, and Users, with referential integrity enforced throughout using foreign key constraints in PostgreSQL and relationship properties in the Neo4j graph. The four analytical modules — UgNLIS verification, GIS price intelligence, ownership risk scan, and certificate generation — operate as independent FastAPI components, enabling each to be developed, tested, and updated without affecting the others. A complete set of design documentation is produced before development begins, including system architecture diagrams, the Neo4j graph schema, the PostgreSQL entity-relationship diagram, the API specification, and UI wireframes for all dashboard screens.</w:t>
      </w:r>
    </w:p>
    <w:p>
      <w:pPr>
        <w:pStyle w:val="Heading2"/>
        <w:spacing w:before="160" w:after="80"/>
        <w:rPr/>
      </w:pPr>
      <w:r>
        <w:rPr>
          <w:rFonts w:eastAsia="Arial" w:cs="Arial" w:ascii="Arial" w:hAnsi="Arial"/>
          <w:b/>
          <w:bCs/>
          <w:sz w:val="21"/>
          <w:szCs w:val="21"/>
        </w:rPr>
        <w:t>9.3 UgNLIS Integration and Payment</w:t>
      </w:r>
    </w:p>
    <w:p>
      <w:pPr>
        <w:pStyle w:val="Normal"/>
        <w:spacing w:before="60" w:after="60"/>
        <w:jc w:val="both"/>
        <w:rPr/>
      </w:pPr>
      <w:r>
        <w:rPr>
          <w:rFonts w:eastAsia="Arial" w:cs="Arial"/>
          <w:sz w:val="20"/>
          <w:szCs w:val="20"/>
        </w:rPr>
        <w:t>Every PlotSure assessment begins with a UgNLIS API call using the user-provided title number (Volume/Folio) or parcel details (County, Block, Plot). PlotSure handles the UGX 10,000 UgNLIS search fee automatically via MTN or Airtel Mobile Money, charging a flat service fee and processing the UgNLIS payment in the background. The returned Search Letter — confirming the title holder, encumbrances, and transaction history — serves as the official ground truth for all subsequent analysis.</w:t>
      </w:r>
    </w:p>
    <w:p>
      <w:pPr>
        <w:pStyle w:val="Heading2"/>
        <w:spacing w:before="160" w:after="80"/>
        <w:rPr/>
      </w:pPr>
      <w:r>
        <w:rPr>
          <w:rFonts w:eastAsia="Arial" w:cs="Arial" w:ascii="Arial" w:hAnsi="Arial"/>
          <w:b/>
          <w:bCs/>
          <w:sz w:val="21"/>
          <w:szCs w:val="21"/>
        </w:rPr>
        <w:t>9.4 GIS-Enriched AI Price Intelligence</w:t>
      </w:r>
    </w:p>
    <w:p>
      <w:pPr>
        <w:pStyle w:val="Normal"/>
        <w:spacing w:before="60" w:after="60"/>
        <w:jc w:val="both"/>
        <w:rPr/>
      </w:pPr>
      <w:r>
        <w:rPr>
          <w:rFonts w:eastAsia="Arial" w:cs="Arial"/>
          <w:sz w:val="20"/>
          <w:szCs w:val="20"/>
        </w:rPr>
        <w:t>A scikit-learn regression model is trained on a structured Kampala land transaction dataset. Feature engineering incorporates GIS spatial analysis and remote sensing indicators from Google Maps Static API and open satellite datasets: road proximity scores from GIS network analysis; building density from remote sensing built-up area classification; land cover type from satellite imagery; and urban-rural classification from spatial overlay. These GIS features combine with UgNLIS structured plot attributes to produce a locally calibrated price prediction and development potential score.</w:t>
      </w:r>
    </w:p>
    <w:p>
      <w:pPr>
        <w:pStyle w:val="Heading2"/>
        <w:spacing w:before="160" w:after="80"/>
        <w:rPr/>
      </w:pPr>
      <w:r>
        <w:rPr>
          <w:rFonts w:eastAsia="Arial" w:cs="Arial" w:ascii="Arial" w:hAnsi="Arial"/>
          <w:b/>
          <w:bCs/>
          <w:sz w:val="21"/>
          <w:szCs w:val="21"/>
        </w:rPr>
        <w:t>9.5 Graph Ownership Risk Scanner with ML Anomaly Detection</w:t>
      </w:r>
    </w:p>
    <w:p>
      <w:pPr>
        <w:pStyle w:val="Normal"/>
        <w:spacing w:before="60" w:after="60"/>
        <w:jc w:val="both"/>
        <w:rPr/>
      </w:pPr>
      <w:r>
        <w:rPr>
          <w:rFonts w:eastAsia="Arial" w:cs="Arial"/>
          <w:sz w:val="20"/>
          <w:szCs w:val="20"/>
        </w:rPr>
        <w:t>The risk scanner applies two complementary techniques. An Isolation Forest ML anomaly detection model is first applied to the UgNLIS transaction history to flag individual records with abnormal ownership durations, price deviations, or unusual transfer frequency. These results are then loaded into Neo4j alongside the full ownership graph — with owners, plots, previous owners, brokers, and encumbrances as nodes and transactions as directed edges. Cypher queries detect: plots with more than two ownership changes within twelve months; owners connected to previously disputed or encumbered plots; broker nodes linked to three or more rapid-turnover transactions; and undisclosed mortgages or court caveats. The combined output is a numerical risk score and human-readable anomaly summary.</w:t>
      </w:r>
    </w:p>
    <w:p>
      <w:pPr>
        <w:pStyle w:val="Heading2"/>
        <w:spacing w:before="160" w:after="80"/>
        <w:rPr/>
      </w:pPr>
      <w:r>
        <w:rPr>
          <w:rFonts w:eastAsia="Arial" w:cs="Arial" w:ascii="Arial" w:hAnsi="Arial"/>
          <w:b/>
          <w:bCs/>
          <w:sz w:val="21"/>
          <w:szCs w:val="21"/>
        </w:rPr>
        <w:t>9.6 Stamp Duty Calculator, Document Checklist, and Certificate</w:t>
      </w:r>
    </w:p>
    <w:p>
      <w:pPr>
        <w:pStyle w:val="Normal"/>
        <w:spacing w:before="60" w:after="60"/>
        <w:jc w:val="both"/>
        <w:rPr/>
      </w:pPr>
      <w:r>
        <w:rPr>
          <w:rFonts w:eastAsia="Arial" w:cs="Arial"/>
          <w:sz w:val="20"/>
          <w:szCs w:val="20"/>
        </w:rPr>
        <w:t>Following the price prediction, PlotSure calculates the full transaction cost: stamp duty at 1.5% of the predicted value for freehold and leasehold land, or 1% for Mailo land; registration fee UGX 10,000; and consent fee UGX 10,000. Based on the land type, the system generates a personalised document checklist covering all items required for Ministry Zonal Office submission. The complete assessment output is serialised to JSON, hashed using SHA-256, and the hash submitted to a local blockchain node or Polygon testnet. Testing covers Pytest unit tests, integration tests including UgNLIS API calls, UAT with ten participants, and an OWASP security review [15].</w:t>
      </w:r>
    </w:p>
    <w:p>
      <w:pPr>
        <w:pStyle w:val="Heading1"/>
        <w:spacing w:before="200" w:after="100"/>
        <w:rPr/>
      </w:pPr>
      <w:r>
        <w:rPr>
          <w:rFonts w:eastAsia="Arial" w:cs="Arial" w:ascii="Arial" w:hAnsi="Arial"/>
          <w:b/>
          <w:bCs/>
          <w:sz w:val="24"/>
          <w:szCs w:val="24"/>
        </w:rPr>
        <w:t>10.0 WORK PLAN</w:t>
      </w:r>
    </w:p>
    <w:p>
      <w:pPr>
        <w:pStyle w:val="Normal"/>
        <w:spacing w:before="60" w:after="60"/>
        <w:jc w:val="both"/>
        <w:rPr/>
      </w:pPr>
      <w:r>
        <w:rPr>
          <w:rFonts w:eastAsia="Arial" w:cs="Arial"/>
          <w:sz w:val="20"/>
          <w:szCs w:val="20"/>
        </w:rPr>
        <w:t>The project runs across 12 weeks from March to May 2026, organised into five phases.</w:t>
      </w:r>
    </w:p>
    <w:p>
      <w:pPr>
        <w:pStyle w:val="Normal"/>
        <w:spacing w:before="40" w:after="40"/>
        <w:rPr/>
      </w:pPr>
      <w:r>
        <w:rPr/>
      </w:r>
    </w:p>
    <w:p>
      <w:pPr>
        <w:pStyle w:val="Normal"/>
        <w:spacing w:before="110" w:after="55"/>
        <w:rPr/>
      </w:pPr>
      <w:r>
        <w:rPr>
          <w:rFonts w:eastAsia="Arial" w:cs="Arial"/>
          <w:b/>
          <w:bCs/>
          <w:sz w:val="20"/>
          <w:szCs w:val="20"/>
        </w:rPr>
        <w:t>Phase 1: Requirements and Design (Weeks 1–2)</w:t>
      </w:r>
    </w:p>
    <w:p>
      <w:pPr>
        <w:pStyle w:val="ListParagraph"/>
        <w:numPr>
          <w:ilvl w:val="0"/>
          <w:numId w:val="11"/>
        </w:numPr>
        <w:spacing w:before="48" w:after="48"/>
        <w:rPr/>
      </w:pPr>
      <w:r>
        <w:rPr>
          <w:rFonts w:eastAsia="Arial" w:cs="Arial"/>
          <w:sz w:val="20"/>
          <w:szCs w:val="20"/>
        </w:rPr>
        <w:t>Review literature on GIS, remote sensing, ML anomaly detection, and the UgNLIS verification process.</w:t>
      </w:r>
    </w:p>
    <w:p>
      <w:pPr>
        <w:pStyle w:val="ListParagraph"/>
        <w:numPr>
          <w:ilvl w:val="0"/>
          <w:numId w:val="3"/>
        </w:numPr>
        <w:spacing w:before="48" w:after="48"/>
        <w:rPr/>
      </w:pPr>
      <w:r>
        <w:rPr>
          <w:rFonts w:eastAsia="Arial" w:cs="Arial"/>
          <w:sz w:val="20"/>
          <w:szCs w:val="20"/>
        </w:rPr>
        <w:t>Conduct needs assessment with land buyers, agents, and bank officers in Kampala.</w:t>
      </w:r>
    </w:p>
    <w:p>
      <w:pPr>
        <w:pStyle w:val="ListParagraph"/>
        <w:numPr>
          <w:ilvl w:val="0"/>
          <w:numId w:val="3"/>
        </w:numPr>
        <w:spacing w:before="48" w:after="48"/>
        <w:rPr/>
      </w:pPr>
      <w:r>
        <w:rPr>
          <w:rFonts w:eastAsia="Arial" w:cs="Arial"/>
          <w:sz w:val="20"/>
          <w:szCs w:val="20"/>
        </w:rPr>
        <w:t>Produce system architecture diagrams, Neo4j schema, database ERD, API specification, and UI wireframes.</w:t>
      </w:r>
    </w:p>
    <w:p>
      <w:pPr>
        <w:pStyle w:val="Normal"/>
        <w:spacing w:before="40" w:after="40"/>
        <w:rPr/>
      </w:pPr>
      <w:r>
        <w:rPr/>
      </w:r>
    </w:p>
    <w:p>
      <w:pPr>
        <w:pStyle w:val="Normal"/>
        <w:spacing w:before="110" w:after="55"/>
        <w:rPr/>
      </w:pPr>
      <w:r>
        <w:rPr>
          <w:rFonts w:eastAsia="Arial" w:cs="Arial"/>
          <w:b/>
          <w:bCs/>
          <w:sz w:val="20"/>
          <w:szCs w:val="20"/>
        </w:rPr>
        <w:t>Phase 2: UgNLIS Integration and AI/GIS Backend (Weeks 3–5)</w:t>
      </w:r>
    </w:p>
    <w:p>
      <w:pPr>
        <w:pStyle w:val="ListParagraph"/>
        <w:numPr>
          <w:ilvl w:val="0"/>
          <w:numId w:val="12"/>
        </w:numPr>
        <w:spacing w:before="48" w:after="48"/>
        <w:rPr/>
      </w:pPr>
      <w:r>
        <w:rPr>
          <w:rFonts w:eastAsia="Arial" w:cs="Arial"/>
          <w:sz w:val="20"/>
          <w:szCs w:val="20"/>
        </w:rPr>
        <w:t>Set up FastAPI, PostgreSQL, and Alembic environment; integrate the UgNLIS API and Mobile Money payment handler.</w:t>
      </w:r>
    </w:p>
    <w:p>
      <w:pPr>
        <w:pStyle w:val="ListParagraph"/>
        <w:numPr>
          <w:ilvl w:val="0"/>
          <w:numId w:val="4"/>
        </w:numPr>
        <w:spacing w:before="48" w:after="48"/>
        <w:rPr/>
      </w:pPr>
      <w:r>
        <w:rPr>
          <w:rFonts w:eastAsia="Arial" w:cs="Arial"/>
          <w:sz w:val="20"/>
          <w:szCs w:val="20"/>
        </w:rPr>
        <w:t>Extract GIS and remote sensing spatial features; train and validate the scikit-learn price prediction model.</w:t>
      </w:r>
    </w:p>
    <w:p>
      <w:pPr>
        <w:pStyle w:val="Normal"/>
        <w:spacing w:before="40" w:after="40"/>
        <w:rPr/>
      </w:pPr>
      <w:r>
        <w:rPr/>
      </w:r>
    </w:p>
    <w:p>
      <w:pPr>
        <w:pStyle w:val="Normal"/>
        <w:spacing w:before="110" w:after="55"/>
        <w:rPr/>
      </w:pPr>
      <w:r>
        <w:rPr>
          <w:rFonts w:eastAsia="Arial" w:cs="Arial"/>
          <w:b/>
          <w:bCs/>
          <w:sz w:val="20"/>
          <w:szCs w:val="20"/>
        </w:rPr>
        <w:t>Phase 3: Graph, Anomaly Detection, Blockchain, and Frontend (Weeks 5–8)</w:t>
      </w:r>
    </w:p>
    <w:p>
      <w:pPr>
        <w:pStyle w:val="ListParagraph"/>
        <w:numPr>
          <w:ilvl w:val="0"/>
          <w:numId w:val="13"/>
        </w:numPr>
        <w:spacing w:before="48" w:after="48"/>
        <w:rPr/>
      </w:pPr>
      <w:r>
        <w:rPr>
          <w:rFonts w:eastAsia="Arial" w:cs="Arial"/>
          <w:sz w:val="20"/>
          <w:szCs w:val="20"/>
        </w:rPr>
        <w:t>Build Neo4j graph schema with Encumbrance node type and implement ML anomaly detection and Cypher fraud queries.</w:t>
      </w:r>
    </w:p>
    <w:p>
      <w:pPr>
        <w:pStyle w:val="ListParagraph"/>
        <w:numPr>
          <w:ilvl w:val="0"/>
          <w:numId w:val="5"/>
        </w:numPr>
        <w:spacing w:before="48" w:after="48"/>
        <w:rPr/>
      </w:pPr>
      <w:r>
        <w:rPr>
          <w:rFonts w:eastAsia="Arial" w:cs="Arial"/>
          <w:sz w:val="20"/>
          <w:szCs w:val="20"/>
        </w:rPr>
        <w:t>Implement SHA-256 certificate hashing, blockchain submission, stamp duty calculator, and document checklist.</w:t>
      </w:r>
    </w:p>
    <w:p>
      <w:pPr>
        <w:pStyle w:val="ListParagraph"/>
        <w:numPr>
          <w:ilvl w:val="0"/>
          <w:numId w:val="5"/>
        </w:numPr>
        <w:spacing w:before="48" w:after="48"/>
        <w:rPr/>
      </w:pPr>
      <w:r>
        <w:rPr>
          <w:rFonts w:eastAsia="Arial" w:cs="Arial"/>
          <w:sz w:val="20"/>
          <w:szCs w:val="20"/>
        </w:rPr>
        <w:t>Build all Streamlit dashboard screens and connect to the backend API; test all workflows end to end.</w:t>
      </w:r>
    </w:p>
    <w:p>
      <w:pPr>
        <w:pStyle w:val="Normal"/>
        <w:spacing w:before="40" w:after="40"/>
        <w:rPr/>
      </w:pPr>
      <w:r>
        <w:rPr/>
      </w:r>
    </w:p>
    <w:p>
      <w:pPr>
        <w:pStyle w:val="Normal"/>
        <w:spacing w:before="110" w:after="55"/>
        <w:rPr/>
      </w:pPr>
      <w:r>
        <w:rPr>
          <w:rFonts w:eastAsia="Arial" w:cs="Arial"/>
          <w:b/>
          <w:bCs/>
          <w:sz w:val="20"/>
          <w:szCs w:val="20"/>
        </w:rPr>
        <w:t>Phase 4: Testing, Deployment, and Evaluation (Weeks 8–10)</w:t>
      </w:r>
    </w:p>
    <w:p>
      <w:pPr>
        <w:pStyle w:val="ListParagraph"/>
        <w:numPr>
          <w:ilvl w:val="0"/>
          <w:numId w:val="14"/>
        </w:numPr>
        <w:spacing w:before="48" w:after="48"/>
        <w:rPr/>
      </w:pPr>
      <w:r>
        <w:rPr>
          <w:rFonts w:eastAsia="Arial" w:cs="Arial"/>
          <w:sz w:val="20"/>
          <w:szCs w:val="20"/>
        </w:rPr>
        <w:t>Run all Pytest unit and integration tests including UgNLIS API calls; fix identified defects.</w:t>
      </w:r>
    </w:p>
    <w:p>
      <w:pPr>
        <w:pStyle w:val="ListParagraph"/>
        <w:numPr>
          <w:ilvl w:val="0"/>
          <w:numId w:val="6"/>
        </w:numPr>
        <w:spacing w:before="48" w:after="48"/>
        <w:rPr/>
      </w:pPr>
      <w:r>
        <w:rPr>
          <w:rFonts w:eastAsia="Arial" w:cs="Arial"/>
          <w:sz w:val="20"/>
          <w:szCs w:val="20"/>
        </w:rPr>
        <w:t>Conduct UAT with ten participants; complete the OWASP security review.</w:t>
      </w:r>
    </w:p>
    <w:p>
      <w:pPr>
        <w:pStyle w:val="ListParagraph"/>
        <w:numPr>
          <w:ilvl w:val="0"/>
          <w:numId w:val="6"/>
        </w:numPr>
        <w:spacing w:before="48" w:after="48"/>
        <w:rPr/>
      </w:pPr>
      <w:r>
        <w:rPr>
          <w:rFonts w:eastAsia="Arial" w:cs="Arial"/>
          <w:sz w:val="20"/>
          <w:szCs w:val="20"/>
        </w:rPr>
        <w:t>Deploy the full system on Render and Streamlit Community Cloud.</w:t>
      </w:r>
    </w:p>
    <w:p>
      <w:pPr>
        <w:pStyle w:val="Normal"/>
        <w:spacing w:before="40" w:after="40"/>
        <w:rPr/>
      </w:pPr>
      <w:r>
        <w:rPr/>
      </w:r>
    </w:p>
    <w:p>
      <w:pPr>
        <w:pStyle w:val="Normal"/>
        <w:spacing w:before="110" w:after="55"/>
        <w:rPr/>
      </w:pPr>
      <w:r>
        <w:rPr>
          <w:rFonts w:eastAsia="Arial" w:cs="Arial"/>
          <w:b/>
          <w:bCs/>
          <w:sz w:val="20"/>
          <w:szCs w:val="20"/>
        </w:rPr>
        <w:t>Phase 5: Report Writing and Submission (Weeks 10–12)</w:t>
      </w:r>
    </w:p>
    <w:p>
      <w:pPr>
        <w:pStyle w:val="ListParagraph"/>
        <w:numPr>
          <w:ilvl w:val="0"/>
          <w:numId w:val="15"/>
        </w:numPr>
        <w:spacing w:before="48" w:after="48"/>
        <w:rPr/>
      </w:pPr>
      <w:r>
        <w:rPr>
          <w:rFonts w:eastAsia="Arial" w:cs="Arial"/>
          <w:sz w:val="20"/>
          <w:szCs w:val="20"/>
        </w:rPr>
        <w:t>Write and format the complete final project report.</w:t>
      </w:r>
    </w:p>
    <w:p>
      <w:pPr>
        <w:pStyle w:val="ListParagraph"/>
        <w:numPr>
          <w:ilvl w:val="0"/>
          <w:numId w:val="7"/>
        </w:numPr>
        <w:spacing w:before="48" w:after="48"/>
        <w:rPr/>
      </w:pPr>
      <w:r>
        <w:rPr>
          <w:rFonts w:eastAsia="Arial" w:cs="Arial"/>
          <w:sz w:val="20"/>
          <w:szCs w:val="20"/>
        </w:rPr>
        <w:t>Prepare and rehearse the project presentation.</w:t>
      </w:r>
    </w:p>
    <w:p>
      <w:pPr>
        <w:pStyle w:val="ListParagraph"/>
        <w:numPr>
          <w:ilvl w:val="0"/>
          <w:numId w:val="7"/>
        </w:numPr>
        <w:spacing w:before="48" w:after="48"/>
        <w:rPr/>
      </w:pPr>
      <w:r>
        <w:rPr>
          <w:rFonts w:eastAsia="Arial" w:cs="Arial"/>
          <w:sz w:val="20"/>
          <w:szCs w:val="20"/>
        </w:rPr>
        <w:t>Submit the final report and all supporting materials by the specified deadline.</w:t>
      </w:r>
    </w:p>
    <w:p>
      <w:pPr>
        <w:pStyle w:val="Heading1"/>
        <w:spacing w:before="200" w:after="100"/>
        <w:rPr/>
      </w:pPr>
      <w:r>
        <w:rPr>
          <w:rFonts w:eastAsia="Arial" w:cs="Arial" w:ascii="Arial" w:hAnsi="Arial"/>
          <w:b/>
          <w:bCs/>
          <w:sz w:val="24"/>
          <w:szCs w:val="24"/>
        </w:rPr>
        <w:t>11.0 BUDGET ESTIMATE</w:t>
      </w:r>
    </w:p>
    <w:p>
      <w:pPr>
        <w:pStyle w:val="Normal"/>
        <w:spacing w:before="60" w:after="60"/>
        <w:jc w:val="both"/>
        <w:rPr/>
      </w:pPr>
      <w:r>
        <w:rPr>
          <w:rFonts w:eastAsia="Arial" w:cs="Arial"/>
          <w:sz w:val="20"/>
          <w:szCs w:val="20"/>
        </w:rPr>
        <w:t>The table below outlines estimated project costs. The majority of development tools are free and open-source; primary costs relate to cloud hosting, UgNLIS API credits, internet, and report printing.</w:t>
      </w:r>
    </w:p>
    <w:p>
      <w:pPr>
        <w:pStyle w:val="Normal"/>
        <w:spacing w:before="40" w:after="40"/>
        <w:rPr/>
      </w:pPr>
      <w:r>
        <w:rPr/>
      </w:r>
    </w:p>
    <w:tbl>
      <w:tblPr>
        <w:tblW w:w="10080" w:type="dxa"/>
        <w:jc w:val="start"/>
        <w:tblInd w:w="0" w:type="dxa"/>
        <w:tblLayout w:type="fixed"/>
        <w:tblCellMar>
          <w:top w:w="70" w:type="dxa"/>
          <w:start w:w="100" w:type="dxa"/>
          <w:bottom w:w="70" w:type="dxa"/>
          <w:end w:w="100" w:type="dxa"/>
        </w:tblCellMar>
      </w:tblPr>
      <w:tblGrid>
        <w:gridCol w:w="4099"/>
        <w:gridCol w:w="3381"/>
        <w:gridCol w:w="2600"/>
      </w:tblGrid>
      <w:tr>
        <w:trPr/>
        <w:tc>
          <w:tcPr>
            <w:tcW w:w="40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Item</w:t>
            </w:r>
          </w:p>
        </w:tc>
        <w:tc>
          <w:tcPr>
            <w:tcW w:w="338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Justification</w:t>
            </w:r>
          </w:p>
        </w:tc>
        <w:tc>
          <w:tcPr>
            <w:tcW w:w="26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Est. Cost (UGX)</w:t>
            </w:r>
          </w:p>
        </w:tc>
      </w:tr>
      <w:tr>
        <w:trPr/>
        <w:tc>
          <w:tcPr>
            <w:tcW w:w="4099"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Cloud hosting on Render (Backend + DB + Neo4j)</w:t>
            </w:r>
          </w:p>
        </w:tc>
        <w:tc>
          <w:tcPr>
            <w:tcW w:w="3381"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3 months at starter plan</w:t>
            </w:r>
          </w:p>
        </w:tc>
        <w:tc>
          <w:tcPr>
            <w:tcW w:w="2600"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220,000</w:t>
            </w:r>
          </w:p>
        </w:tc>
      </w:tr>
      <w:tr>
        <w:trPr/>
        <w:tc>
          <w:tcPr>
            <w:tcW w:w="4099"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Domain name registration</w:t>
            </w:r>
          </w:p>
        </w:tc>
        <w:tc>
          <w:tcPr>
            <w:tcW w:w="3381"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Custom URL for platform</w:t>
            </w:r>
          </w:p>
        </w:tc>
        <w:tc>
          <w:tcPr>
            <w:tcW w:w="2600"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80,000</w:t>
            </w:r>
          </w:p>
        </w:tc>
      </w:tr>
      <w:tr>
        <w:trPr/>
        <w:tc>
          <w:tcPr>
            <w:tcW w:w="4099"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UgNLIS API search credits (pilot)</w:t>
            </w:r>
          </w:p>
        </w:tc>
        <w:tc>
          <w:tcPr>
            <w:tcW w:w="3381"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Test searches during UAT phase</w:t>
            </w:r>
          </w:p>
        </w:tc>
        <w:tc>
          <w:tcPr>
            <w:tcW w:w="2600"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50,000</w:t>
            </w:r>
          </w:p>
        </w:tc>
      </w:tr>
      <w:tr>
        <w:trPr/>
        <w:tc>
          <w:tcPr>
            <w:tcW w:w="4099"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Internet data (mobile and home)</w:t>
            </w:r>
          </w:p>
        </w:tc>
        <w:tc>
          <w:tcPr>
            <w:tcW w:w="3381"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3 months of active development</w:t>
            </w:r>
          </w:p>
        </w:tc>
        <w:tc>
          <w:tcPr>
            <w:tcW w:w="2600"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150,000</w:t>
            </w:r>
          </w:p>
        </w:tc>
      </w:tr>
      <w:tr>
        <w:trPr/>
        <w:tc>
          <w:tcPr>
            <w:tcW w:w="4099"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Printing and binding of final report</w:t>
            </w:r>
          </w:p>
        </w:tc>
        <w:tc>
          <w:tcPr>
            <w:tcW w:w="3381"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3 copies for submission and defence</w:t>
            </w:r>
          </w:p>
        </w:tc>
        <w:tc>
          <w:tcPr>
            <w:tcW w:w="2600"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120,000</w:t>
            </w:r>
          </w:p>
        </w:tc>
      </w:tr>
      <w:tr>
        <w:trPr/>
        <w:tc>
          <w:tcPr>
            <w:tcW w:w="4099"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Stationery and research materials</w:t>
            </w:r>
          </w:p>
        </w:tc>
        <w:tc>
          <w:tcPr>
            <w:tcW w:w="3381"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Notebooks, pens, printed articles</w:t>
            </w:r>
          </w:p>
        </w:tc>
        <w:tc>
          <w:tcPr>
            <w:tcW w:w="2600"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50,000</w:t>
            </w:r>
          </w:p>
        </w:tc>
      </w:tr>
      <w:tr>
        <w:trPr/>
        <w:tc>
          <w:tcPr>
            <w:tcW w:w="4099"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Transport for UAT fieldwork</w:t>
            </w:r>
          </w:p>
        </w:tc>
        <w:tc>
          <w:tcPr>
            <w:tcW w:w="3381"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Visiting participants in Kampala</w:t>
            </w:r>
          </w:p>
        </w:tc>
        <w:tc>
          <w:tcPr>
            <w:tcW w:w="2600"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val="false"/>
                <w:bCs w:val="false"/>
                <w:sz w:val="18"/>
                <w:szCs w:val="18"/>
              </w:rPr>
              <w:t>100,000</w:t>
            </w:r>
          </w:p>
        </w:tc>
      </w:tr>
      <w:tr>
        <w:trPr/>
        <w:tc>
          <w:tcPr>
            <w:tcW w:w="4099"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Contingency (10%)</w:t>
            </w:r>
          </w:p>
        </w:tc>
        <w:tc>
          <w:tcPr>
            <w:tcW w:w="3381"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Unforeseen expenses</w:t>
            </w:r>
          </w:p>
        </w:tc>
        <w:tc>
          <w:tcPr>
            <w:tcW w:w="2600" w:type="dxa"/>
            <w:tcBorders>
              <w:top w:val="single" w:sz="2" w:space="0" w:color="CCCCCC"/>
              <w:start w:val="single" w:sz="2" w:space="0" w:color="CCCCCC"/>
              <w:bottom w:val="single" w:sz="2" w:space="0" w:color="CCCCCC"/>
              <w:end w:val="single" w:sz="2" w:space="0" w:color="CCCCCC"/>
            </w:tcBorders>
            <w:shd w:fill="FFFFFF" w:val="clear"/>
            <w:tcMar>
              <w:top w:w="55" w:type="dxa"/>
              <w:bottom w:w="55" w:type="dxa"/>
            </w:tcMar>
          </w:tcPr>
          <w:p>
            <w:pPr>
              <w:pStyle w:val="Normal"/>
              <w:rPr/>
            </w:pPr>
            <w:r>
              <w:rPr>
                <w:rFonts w:eastAsia="Arial" w:cs="Arial"/>
                <w:b w:val="false"/>
                <w:bCs w:val="false"/>
                <w:sz w:val="18"/>
                <w:szCs w:val="18"/>
              </w:rPr>
              <w:t>77,000</w:t>
            </w:r>
          </w:p>
        </w:tc>
      </w:tr>
      <w:tr>
        <w:trPr/>
        <w:tc>
          <w:tcPr>
            <w:tcW w:w="4099"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bCs/>
                <w:sz w:val="18"/>
                <w:szCs w:val="18"/>
              </w:rPr>
              <w:t>TOTAL</w:t>
            </w:r>
          </w:p>
        </w:tc>
        <w:tc>
          <w:tcPr>
            <w:tcW w:w="3381"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
          </w:p>
        </w:tc>
        <w:tc>
          <w:tcPr>
            <w:tcW w:w="2600" w:type="dxa"/>
            <w:tcBorders>
              <w:top w:val="single" w:sz="2" w:space="0" w:color="CCCCCC"/>
              <w:start w:val="single" w:sz="2" w:space="0" w:color="CCCCCC"/>
              <w:bottom w:val="single" w:sz="2" w:space="0" w:color="CCCCCC"/>
              <w:end w:val="single" w:sz="2" w:space="0" w:color="CCCCCC"/>
            </w:tcBorders>
            <w:shd w:fill="EEF4FB" w:val="clear"/>
            <w:tcMar>
              <w:top w:w="55" w:type="dxa"/>
              <w:bottom w:w="55" w:type="dxa"/>
            </w:tcMar>
          </w:tcPr>
          <w:p>
            <w:pPr>
              <w:pStyle w:val="Normal"/>
              <w:rPr/>
            </w:pPr>
            <w:r>
              <w:rPr>
                <w:rFonts w:eastAsia="Arial" w:cs="Arial"/>
                <w:b/>
                <w:bCs/>
                <w:sz w:val="18"/>
                <w:szCs w:val="18"/>
              </w:rPr>
              <w:t>847,000</w:t>
            </w:r>
          </w:p>
        </w:tc>
      </w:tr>
    </w:tbl>
    <w:p>
      <w:pPr>
        <w:pStyle w:val="Normal"/>
        <w:spacing w:before="40" w:after="40"/>
        <w:rPr/>
      </w:pPr>
      <w:r>
        <w:rPr/>
      </w:r>
    </w:p>
    <w:p>
      <w:pPr>
        <w:pStyle w:val="Normal"/>
        <w:spacing w:before="60" w:after="60"/>
        <w:jc w:val="both"/>
        <w:rPr/>
      </w:pPr>
      <w:r>
        <w:rPr>
          <w:rFonts w:eastAsia="Arial" w:cs="Arial"/>
          <w:sz w:val="20"/>
          <w:szCs w:val="20"/>
        </w:rPr>
        <w:t>Streamlit Community Cloud covers frontend hosting at no cost. All core development software — FastAPI, scikit-learn, Neo4j Community Edition, PostgreSQL, and the Isolation Forest library — is free and open-source. The Polygon testnet used for certificate hashing is free during development and testing.</w:t>
      </w:r>
    </w:p>
    <w:p>
      <w:pPr>
        <w:pStyle w:val="Normal"/>
        <w:spacing w:before="40" w:after="40"/>
        <w:rPr/>
      </w:pPr>
      <w:r>
        <w:rPr/>
      </w:r>
    </w:p>
    <w:p>
      <w:pPr>
        <w:pStyle w:val="Heading1"/>
        <w:spacing w:before="200" w:after="100"/>
        <w:rPr/>
      </w:pPr>
      <w:r>
        <w:rPr>
          <w:rFonts w:eastAsia="Arial" w:cs="Arial" w:ascii="Arial" w:hAnsi="Arial"/>
          <w:b/>
          <w:bCs/>
          <w:sz w:val="24"/>
          <w:szCs w:val="24"/>
        </w:rPr>
        <w:t>REFERENCES</w:t>
      </w:r>
    </w:p>
    <w:p>
      <w:pPr>
        <w:pStyle w:val="Normal"/>
        <w:spacing w:before="45" w:after="45"/>
        <w:ind w:hanging="300" w:start="300"/>
        <w:rPr/>
      </w:pPr>
      <w:r>
        <w:rPr>
          <w:rFonts w:eastAsia="Arial" w:cs="Arial"/>
          <w:sz w:val="18"/>
          <w:szCs w:val="18"/>
        </w:rPr>
        <w:t>[1] Ministry of Lands, Housing and Urban Development (MLHUD), "Uganda National Land Policy," Kampala, 2013.</w:t>
      </w:r>
    </w:p>
    <w:p>
      <w:pPr>
        <w:pStyle w:val="Normal"/>
        <w:spacing w:before="45" w:after="45"/>
        <w:ind w:hanging="300" w:start="300"/>
        <w:rPr/>
      </w:pPr>
      <w:r>
        <w:rPr>
          <w:rFonts w:eastAsia="Arial" w:cs="Arial"/>
          <w:sz w:val="18"/>
          <w:szCs w:val="18"/>
        </w:rPr>
        <w:t>[2] MLHUD, "Uganda National Land Information System (UgNLIS) user guide," Kampala, 2021. [Online]. Available: https://ugnlis.mlhud.go.ug</w:t>
      </w:r>
    </w:p>
    <w:p>
      <w:pPr>
        <w:pStyle w:val="Normal"/>
        <w:spacing w:before="45" w:after="45"/>
        <w:ind w:hanging="300" w:start="300"/>
        <w:rPr/>
      </w:pPr>
      <w:r>
        <w:rPr>
          <w:rFonts w:eastAsia="Arial" w:cs="Arial"/>
          <w:sz w:val="18"/>
          <w:szCs w:val="18"/>
        </w:rPr>
        <w:t>[3] Uganda Bureau of Statistics (UBOS), "Uganda National Household Survey 2019/2020," Kampala, 2021.</w:t>
      </w:r>
    </w:p>
    <w:p>
      <w:pPr>
        <w:pStyle w:val="Normal"/>
        <w:spacing w:before="45" w:after="45"/>
        <w:ind w:hanging="300" w:start="300"/>
        <w:rPr/>
      </w:pPr>
      <w:r>
        <w:rPr>
          <w:rFonts w:eastAsia="Arial" w:cs="Arial"/>
          <w:sz w:val="18"/>
          <w:szCs w:val="18"/>
        </w:rPr>
        <w:t>[4] Nairobi City County Government, "Ardhisasa: Digital land information management system," 2021. [Online]. Available: https://ardhisasa.lands.go.ke</w:t>
      </w:r>
    </w:p>
    <w:p>
      <w:pPr>
        <w:pStyle w:val="Normal"/>
        <w:spacing w:before="45" w:after="45"/>
        <w:ind w:hanging="300" w:start="300"/>
        <w:rPr/>
      </w:pPr>
      <w:r>
        <w:rPr>
          <w:rFonts w:eastAsia="Arial" w:cs="Arial"/>
          <w:sz w:val="18"/>
          <w:szCs w:val="18"/>
        </w:rPr>
        <w:t>[5] G. A. Akerlof, "The market for 'lemons': Quality uncertainty and the market mechanism," Quarterly Journal of Economics, vol. 84, no. 3, pp. 488-500, 1970.</w:t>
      </w:r>
    </w:p>
    <w:p>
      <w:pPr>
        <w:pStyle w:val="Normal"/>
        <w:spacing w:before="45" w:after="45"/>
        <w:ind w:hanging="300" w:start="300"/>
        <w:rPr/>
      </w:pPr>
      <w:r>
        <w:rPr>
          <w:rFonts w:eastAsia="Arial" w:cs="Arial"/>
          <w:sz w:val="18"/>
          <w:szCs w:val="18"/>
        </w:rPr>
        <w:t>[6] P. A. Longley et al., Geographic Information Systems and Science, 3rd ed. Hoboken, NJ: Wiley, 2011.</w:t>
      </w:r>
    </w:p>
    <w:p>
      <w:pPr>
        <w:pStyle w:val="Normal"/>
        <w:spacing w:before="45" w:after="45"/>
        <w:ind w:hanging="300" w:start="300"/>
        <w:rPr/>
      </w:pPr>
      <w:r>
        <w:rPr>
          <w:rFonts w:eastAsia="Arial" w:cs="Arial"/>
          <w:sz w:val="18"/>
          <w:szCs w:val="18"/>
        </w:rPr>
        <w:t>[7] V. Limsombunchai, "House price prediction: Hedonic price model vs. artificial neural network," in Proc. NZARES Conference, 2004.</w:t>
      </w:r>
    </w:p>
    <w:p>
      <w:pPr>
        <w:pStyle w:val="Normal"/>
        <w:spacing w:before="45" w:after="45"/>
        <w:ind w:hanging="300" w:start="300"/>
        <w:rPr/>
      </w:pPr>
      <w:r>
        <w:rPr>
          <w:rFonts w:eastAsia="Arial" w:cs="Arial"/>
          <w:sz w:val="18"/>
          <w:szCs w:val="18"/>
        </w:rPr>
        <w:t>[8] N. Pow, P. Janulewicz, and L. Liu, "Applied machine learning: Prediction of real estate property prices in Montreal," McGill University, 2014.</w:t>
      </w:r>
    </w:p>
    <w:p>
      <w:pPr>
        <w:pStyle w:val="Normal"/>
        <w:spacing w:before="45" w:after="45"/>
        <w:ind w:hanging="300" w:start="300"/>
        <w:rPr/>
      </w:pPr>
      <w:r>
        <w:rPr>
          <w:rFonts w:eastAsia="Arial" w:cs="Arial"/>
          <w:sz w:val="18"/>
          <w:szCs w:val="18"/>
        </w:rPr>
        <w:t>[9] T. Pourhabibi et al., "Fraud detection: A systematic literature review of graph-based anomaly detection," Decision Support Systems, vol. 133, p. 113303, 2020.</w:t>
      </w:r>
    </w:p>
    <w:p>
      <w:pPr>
        <w:pStyle w:val="Normal"/>
        <w:spacing w:before="45" w:after="45"/>
        <w:ind w:hanging="300" w:start="300"/>
        <w:rPr/>
      </w:pPr>
      <w:r>
        <w:rPr>
          <w:rFonts w:eastAsia="Arial" w:cs="Arial"/>
          <w:sz w:val="18"/>
          <w:szCs w:val="18"/>
        </w:rPr>
        <w:t>[10] I. Robinson, J. Webber, and E. Eifrem, Graph Databases, 2nd ed. O'Reilly Media, 2015.</w:t>
      </w:r>
    </w:p>
    <w:p>
      <w:pPr>
        <w:pStyle w:val="Normal"/>
        <w:spacing w:before="45" w:after="45"/>
        <w:ind w:hanging="300" w:start="300"/>
        <w:rPr/>
      </w:pPr>
      <w:r>
        <w:rPr>
          <w:rFonts w:eastAsia="Arial" w:cs="Arial"/>
          <w:sz w:val="18"/>
          <w:szCs w:val="18"/>
        </w:rPr>
        <w:t>[11] J. Vos, C. Lemmen, and B. Beentjes, "Blockchain-based land administration," in Proc. World Bank Conference on Land and Poverty, 2017.</w:t>
      </w:r>
    </w:p>
    <w:p>
      <w:pPr>
        <w:pStyle w:val="Normal"/>
        <w:spacing w:before="45" w:after="45"/>
        <w:ind w:hanging="300" w:start="300"/>
        <w:rPr/>
      </w:pPr>
      <w:r>
        <w:rPr>
          <w:rFonts w:eastAsia="Arial" w:cs="Arial"/>
          <w:sz w:val="18"/>
          <w:szCs w:val="18"/>
        </w:rPr>
        <w:t>[12] World Bank, "Land Governance Assessment Framework," Washington, DC, 2012.</w:t>
      </w:r>
    </w:p>
    <w:p>
      <w:pPr>
        <w:pStyle w:val="Normal"/>
        <w:spacing w:before="45" w:after="45"/>
        <w:ind w:hanging="300" w:start="300"/>
        <w:rPr/>
      </w:pPr>
      <w:r>
        <w:rPr>
          <w:rFonts w:eastAsia="Arial" w:cs="Arial"/>
          <w:sz w:val="18"/>
          <w:szCs w:val="18"/>
        </w:rPr>
        <w:t>[13] A. R. Hevner et al., "Design science in information systems research," MIS Quarterly, vol. 28, no. 1, pp. 75-105, 2004.</w:t>
      </w:r>
    </w:p>
    <w:p>
      <w:pPr>
        <w:pStyle w:val="Normal"/>
        <w:spacing w:before="45" w:after="45"/>
        <w:ind w:hanging="300" w:start="300"/>
        <w:rPr/>
      </w:pPr>
      <w:r>
        <w:rPr>
          <w:rFonts w:eastAsia="Arial" w:cs="Arial"/>
          <w:sz w:val="18"/>
          <w:szCs w:val="18"/>
        </w:rPr>
        <w:t>[14] K. Schwaber and J. Sutherland, "The Scrum Guide," Scrum.org, 2020. [Online]. Available: https://www.scrum.org</w:t>
      </w:r>
    </w:p>
    <w:p>
      <w:pPr>
        <w:pStyle w:val="Normal"/>
        <w:spacing w:before="45" w:after="45"/>
        <w:ind w:hanging="300" w:start="300"/>
        <w:rPr/>
      </w:pPr>
      <w:r>
        <w:rPr>
          <w:rFonts w:eastAsia="Arial" w:cs="Arial"/>
          <w:sz w:val="18"/>
          <w:szCs w:val="18"/>
        </w:rPr>
        <w:t>[15] OWASP Foundation, "OWASP Top Ten," 2021. [Online]. Available: https://owasp.org/www-project-top-ten</w:t>
      </w:r>
    </w:p>
    <w:sectPr>
      <w:type w:val="nextPage"/>
      <w:pgSz w:w="12240" w:h="15840"/>
      <w:pgMar w:left="126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start"/>
      <w:pPr>
        <w:tabs>
          <w:tab w:val="num" w:pos="0"/>
        </w:tabs>
        <w:ind w:start="6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600" w:hanging="3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lowerRoman"/>
      <w:lvlText w:val="%1."/>
      <w:lvlJc w:val="start"/>
      <w:pPr>
        <w:tabs>
          <w:tab w:val="num" w:pos="0"/>
        </w:tabs>
        <w:ind w:start="6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lowerRoman"/>
      <w:lvlText w:val="%1."/>
      <w:lvlJc w:val="start"/>
      <w:pPr>
        <w:tabs>
          <w:tab w:val="num" w:pos="0"/>
        </w:tabs>
        <w:ind w:start="6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lowerRoman"/>
      <w:lvlText w:val="%1."/>
      <w:lvlJc w:val="start"/>
      <w:pPr>
        <w:tabs>
          <w:tab w:val="num" w:pos="0"/>
        </w:tabs>
        <w:ind w:start="6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lowerRoman"/>
      <w:lvlText w:val="%1."/>
      <w:lvlJc w:val="start"/>
      <w:pPr>
        <w:tabs>
          <w:tab w:val="num" w:pos="0"/>
        </w:tabs>
        <w:ind w:start="6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Roman"/>
      <w:lvlText w:val="%1."/>
      <w:lvlJc w:val="start"/>
      <w:pPr>
        <w:tabs>
          <w:tab w:val="num" w:pos="0"/>
        </w:tabs>
        <w:ind w:start="6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200" w:after="100"/>
      <w:outlineLvl w:val="0"/>
    </w:pPr>
    <w:rPr>
      <w:rFonts w:ascii="Arial" w:hAnsi="Arial" w:eastAsia="Arial" w:cs="Arial"/>
      <w:b/>
      <w:bCs/>
      <w:color w:val="1F3864"/>
      <w:sz w:val="24"/>
      <w:szCs w:val="24"/>
    </w:rPr>
  </w:style>
  <w:style w:type="paragraph" w:styleId="Heading2">
    <w:name w:val="heading 2"/>
    <w:basedOn w:val="Heading"/>
    <w:qFormat/>
    <w:pPr>
      <w:spacing w:before="160" w:after="80"/>
      <w:outlineLvl w:val="1"/>
    </w:pPr>
    <w:rPr>
      <w:rFonts w:ascii="Arial" w:hAnsi="Arial" w:eastAsia="Arial" w:cs="Arial"/>
      <w:b/>
      <w:bCs/>
      <w:color w:val="2E5A9C"/>
      <w:sz w:val="21"/>
      <w:szCs w:val="21"/>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LibreOffice_project/252c20f6956e3db0b52e6e2f9dda67263513c8fc</Application>
  <AppVersion>15.0000</AppVersion>
  <Pages>10</Pages>
  <Words>3176</Words>
  <Characters>19536</Characters>
  <CharactersWithSpaces>22556</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2026-03-08T12:25:44Z</dcterms:created>
  <dc:creator>Un-named</dc:creator>
  <dc:description/>
  <dc:language>en-US</dc:language>
  <cp:lastModifiedBy/>
  <dcterms:modified xsi:type="dcterms:W3CDTF">2026-03-09T12:17:17Z</dcterms:modified>
  <cp:revision>2</cp:revision>
  <dc:subject/>
  <dc:title/>
</cp:coreProperties>
</file>