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0" w:after="160"/>
        <w:jc w:val="center"/>
      </w:pPr>
      <w:r>
        <w:rPr>
          <w:rFonts w:ascii="Arial" w:cs="Arial" w:eastAsia="Arial" w:hAnsi="Arial"/>
          <w:b/>
          <w:bCs/>
          <w:color w:val="1B3A4B"/>
          <w:sz w:val="56"/>
          <w:szCs w:val="56"/>
        </w:rPr>
        <w:t xml:space="preserve">Medical Diagnosis Model Analysis</w:t>
      </w:r>
    </w:p>
    <w:p>
      <w:pPr>
        <w:spacing w:before="0" w:after="120"/>
        <w:jc w:val="center"/>
      </w:pPr>
      <w:r>
        <w:rPr>
          <w:rFonts w:ascii="Arial" w:cs="Arial" w:eastAsia="Arial" w:hAnsi="Arial"/>
          <w:color w:val="1A6B5E"/>
          <w:sz w:val="36"/>
          <w:szCs w:val="36"/>
        </w:rPr>
        <w:t xml:space="preserve">Knowledge Distillation + Chain-of-Thought Distillation</w:t>
      </w:r>
    </w:p>
    <w:p>
      <w:pPr>
        <w:spacing w:before="0" w:after="80"/>
        <w:jc w:val="center"/>
      </w:pPr>
      <w:r>
        <w:rPr>
          <w:rFonts w:ascii="Arial" w:cs="Arial" w:eastAsia="Arial" w:hAnsi="Arial"/>
          <w:color w:val="555555"/>
          <w:sz w:val="28"/>
          <w:szCs w:val="28"/>
        </w:rPr>
        <w:t xml:space="preserve">from a Small Teacher to an Even Smaller Student Model</w:t>
      </w:r>
    </w:p>
    <w:p>
      <w:pPr>
        <w:spacing w:before="40" w:after="40"/>
      </w:pPr>
    </w:p>
    <w:p>
      <w:pPr>
        <w:spacing w:before="40" w:after="40"/>
      </w:pPr>
    </w:p>
    <w:p>
      <w:pPr>
        <w:spacing w:before="0" w:after="80"/>
        <w:jc w:val="center"/>
      </w:pPr>
      <w:r>
        <w:rPr>
          <w:rFonts w:ascii="Arial" w:cs="Arial" w:eastAsia="Arial" w:hAnsi="Arial"/>
          <w:color w:val="555555"/>
          <w:sz w:val="22"/>
          <w:szCs w:val="22"/>
        </w:rPr>
        <w:t xml:space="preserve">Rare Disease Benchmark · 247 Diseases · 1,976 Cases · ZebraMap Dataset</w:t>
      </w:r>
    </w:p>
    <w:p>
      <w:pPr>
        <w:spacing w:before="0" w:after="80"/>
        <w:jc w:val="center"/>
      </w:pPr>
      <w:r>
        <w:rPr>
          <w:rFonts w:ascii="Arial" w:cs="Arial" w:eastAsia="Arial" w:hAnsi="Arial"/>
          <w:color w:val="555555"/>
          <w:sz w:val="22"/>
          <w:szCs w:val="22"/>
        </w:rPr>
        <w:t xml:space="preserve">March 2026</w:t>
      </w:r>
    </w:p>
    <w:p>
      <w:pPr>
        <w:spacing w:before="40" w:after="40"/>
      </w:pPr>
    </w:p>
    <w:p>
      <w:pPr>
        <w:spacing w:before="40" w:after="40"/>
      </w:pPr>
    </w:p>
    <w:p>
      <w:pPr>
        <w:spacing w:before="40" w:after="40"/>
      </w:pPr>
    </w:p>
    <w:p>
      <w:pPr>
        <w:spacing w:before="40" w:after="40"/>
      </w:pPr>
    </w:p>
    <w:p>
      <w:pPr>
        <w:spacing w:before="40" w:after="40"/>
      </w:pPr>
    </w:p>
    <w:p>
      <w:pPr>
        <w:spacing w:before="40" w:after="40"/>
      </w:pPr>
    </w:p>
    <w:p>
      <w:r>
        <w:br w:type="page"/>
      </w:r>
    </w:p>
    <w:p>
      <w:pPr>
        <w:pStyle w:val="Heading1"/>
        <w:spacing w:before="360" w:after="160"/>
      </w:pPr>
      <w:r>
        <w:rPr>
          <w:rFonts w:ascii="Arial" w:cs="Arial" w:eastAsia="Arial" w:hAnsi="Arial"/>
          <w:b/>
          <w:bCs/>
          <w:color w:val="1B3A4B"/>
          <w:sz w:val="36"/>
          <w:szCs w:val="36"/>
        </w:rPr>
        <w:t xml:space="preserve">1. Project Overview</w:t>
      </w:r>
    </w:p>
    <w:p>
      <w:pPr>
        <w:spacing w:before="60" w:after="100"/>
      </w:pPr>
      <w:r>
        <w:rPr>
          <w:rFonts w:ascii="Arial" w:cs="Arial" w:eastAsia="Arial" w:hAnsi="Arial"/>
          <w:color w:val="555555"/>
          <w:sz w:val="22"/>
          <w:szCs w:val="22"/>
        </w:rPr>
        <w:t xml:space="preserve">This document records the complete analysis conducted to evaluate whether SFT fine-tuning of a 1.5B parameter model on clinical reasoning traces from an 8B teacher model transfers both factual medical knowledge and structured chain-of-thought reasoning. Every input, output, methodology decision, and finding from the full analysis session is captured here.</w:t>
      </w:r>
    </w:p>
    <w:p>
      <w:pPr>
        <w:pStyle w:val="Heading2"/>
        <w:spacing w:before="280" w:after="120"/>
      </w:pPr>
      <w:r>
        <w:rPr>
          <w:rFonts w:ascii="Arial" w:cs="Arial" w:eastAsia="Arial" w:hAnsi="Arial"/>
          <w:b/>
          <w:bCs/>
          <w:color w:val="1A6B5E"/>
          <w:sz w:val="28"/>
          <w:szCs w:val="28"/>
        </w:rPr>
        <w:t xml:space="preserve">1.1 The Real-World Problem</w:t>
      </w:r>
    </w:p>
    <w:p>
      <w:pPr>
        <w:spacing w:before="60" w:after="100"/>
      </w:pPr>
      <w:r>
        <w:rPr>
          <w:rFonts w:ascii="Arial" w:cs="Arial" w:eastAsia="Arial" w:hAnsi="Arial"/>
          <w:color w:val="555555"/>
          <w:sz w:val="22"/>
          <w:szCs w:val="22"/>
        </w:rPr>
        <w:t xml:space="preserve">ZebraMap is a clinical dataset of rare disease case summaries — brief, real patient case descriptions mapped to rare disease labels (diagnoses). The base model, presented with these case summaries, produces unstructured free-form prose that is unauditable. A clinician or researcher cannot trace why the model arrived at a diagnosis, cannot identify the reasoning step that failed, and cannot correct it without retraining.</w:t>
      </w:r>
    </w:p>
    <w:p>
      <w:pPr>
        <w:spacing w:before="60" w:after="100"/>
      </w:pPr>
      <w:r>
        <w:rPr>
          <w:rFonts w:ascii="Arial" w:cs="Arial" w:eastAsia="Arial" w:hAnsi="Arial"/>
          <w:color w:val="555555"/>
          <w:sz w:val="22"/>
          <w:szCs w:val="22"/>
        </w:rPr>
        <w:t xml:space="preserve">The goal of this project was a qualitative transformation: training the model to produce explicit, step-by-step reasoning traces of the form &lt;think&gt;...clinical deliberation...&lt;/think&gt;&lt;diagnosis&gt;Disease Name&lt;/diagnosis&gt;. This makes every inference transparent, auditable, and correctable.</w:t>
      </w:r>
    </w:p>
    <w:p>
      <w:pPr>
        <w:pStyle w:val="Heading2"/>
        <w:spacing w:before="280" w:after="120"/>
      </w:pPr>
      <w:r>
        <w:rPr>
          <w:rFonts w:ascii="Arial" w:cs="Arial" w:eastAsia="Arial" w:hAnsi="Arial"/>
          <w:b/>
          <w:bCs/>
          <w:color w:val="1A6B5E"/>
          <w:sz w:val="28"/>
          <w:szCs w:val="28"/>
        </w:rPr>
        <w:t xml:space="preserve">1.2 The Three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100"/>
        <w:gridCol w:w="1400"/>
        <w:gridCol w:w="2460"/>
      </w:tblGrid>
      <w:tr>
        <w:trPr>
          <w:tblHeader/>
        </w:trPr>
        <w:tc>
          <w:tcPr>
            <w:tcW w:type="dxa" w:w="18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6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11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Quantisation</w:t>
            </w:r>
          </w:p>
        </w:tc>
        <w:tc>
          <w:tcPr>
            <w:tcW w:type="dxa" w:w="24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Qwen-2.5-1.5B-Instruct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1.5B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BnB 4-bit</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Starting point — no medical specialisation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Teacher</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DeepSeek-R1-Distill-Llama-8B (GGUF)</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8B</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Q4_K_M</w:t>
            </w:r>
          </w:p>
        </w:tc>
        <w:tc>
          <w:tcPr>
            <w:tcW w:type="dxa" w:w="2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Reasoning trace generator — itself distilled from R1-671B</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Qwen-2.5-1.5B (QLoRA fine-tuned)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1.5B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BnB 4-bit + LoRA</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Target model — trained on teacher traces</w:t>
            </w:r>
          </w:p>
        </w:tc>
      </w:tr>
    </w:tbl>
    <w:p>
      <w:pPr>
        <w:spacing w:before="40" w:after="40"/>
      </w:pPr>
    </w:p>
    <w:p>
      <w:pPr>
        <w:spacing w:before="60" w:after="100"/>
      </w:pPr>
      <w:r>
        <w:rPr>
          <w:rFonts w:ascii="Arial" w:cs="Arial" w:eastAsia="Arial" w:hAnsi="Arial"/>
          <w:color w:val="555555"/>
          <w:sz w:val="22"/>
          <w:szCs w:val="22"/>
        </w:rPr>
        <w:t xml:space="preserve">Fine-tuning was performed with QLoRA rank-64, alpha-128 (2× scaling ratio). The alpha-to-rank ratio of 2.0 (standard ratio is 1.0) means the LoRA update is applied more aggressively — prioritising output fidelity to the teacher's trace format, including surface stylistic patterns.</w:t>
      </w:r>
    </w:p>
    <w:p>
      <w:pPr>
        <w:spacing w:before="60" w:after="100"/>
      </w:pPr>
      <w:r>
        <w:rPr>
          <w:rFonts w:ascii="Arial" w:cs="Arial" w:eastAsia="Arial" w:hAnsi="Arial"/>
          <w:color w:val="555555"/>
          <w:sz w:val="22"/>
          <w:szCs w:val="22"/>
        </w:rPr>
        <w:t xml:space="preserve">The full knowledge chain is: DeepSeek-R1-671B → (CoT distillation) → Teacher-8B → (SFT traces) → Student-1.5B. The student is learning from a model that already compressed R1-scale reasoning into 8B parameters.</w:t>
      </w:r>
    </w:p>
    <w:p>
      <w:pPr>
        <w:pStyle w:val="Heading2"/>
        <w:spacing w:before="280" w:after="120"/>
      </w:pPr>
      <w:r>
        <w:rPr>
          <w:rFonts w:ascii="Arial" w:cs="Arial" w:eastAsia="Arial" w:hAnsi="Arial"/>
          <w:b/>
          <w:bCs/>
          <w:color w:val="1A6B5E"/>
          <w:sz w:val="28"/>
          <w:szCs w:val="28"/>
        </w:rPr>
        <w:t xml:space="preserve">1.3 The Central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E" w:sz="12"/>
              <w:left w:val="single" w:color="1A6B5E" w:sz="12"/>
              <w:bottom w:val="single" w:color="1A6B5E" w:sz="4"/>
              <w:right w:val="single" w:color="1A6B5E" w:sz="4"/>
            </w:tcBorders>
            <w:shd w:fill="EAF6F3" w:val="clear"/>
            <w:tcMar>
              <w:top w:type="dxa" w:w="120"/>
              <w:left w:type="dxa" w:w="180"/>
              <w:bottom w:type="dxa" w:w="120"/>
              <w:right w:type="dxa" w:w="180"/>
            </w:tcMar>
          </w:tcPr>
          <w:p>
            <w:pPr>
              <w:spacing w:before="40" w:after="40"/>
            </w:pPr>
            <w:r>
              <w:rPr>
                <w:rFonts w:ascii="Arial" w:cs="Arial" w:eastAsia="Arial" w:hAnsi="Arial"/>
                <w:b w:val="false"/>
                <w:bCs w:val="false"/>
                <w:color w:val="1B3A4B"/>
                <w:sz w:val="20"/>
                <w:szCs w:val="20"/>
              </w:rPr>
              <w:t xml:space="preserve">HYPOTHESIS</w:t>
            </w:r>
          </w:p>
          <w:p>
            <w:pPr>
              <w:spacing w:before="40" w:after="40"/>
            </w:pPr>
            <w:r>
              <w:rPr>
                <w:rFonts w:ascii="Arial" w:cs="Arial" w:eastAsia="Arial" w:hAnsi="Arial"/>
                <w:b w:val="false"/>
                <w:bCs w:val="false"/>
                <w:color w:val="1B3A4B"/>
                <w:sz w:val="20"/>
                <w:szCs w:val="20"/>
              </w:rPr>
              <w:t xml:space="preserve">The gain observed in the fine-tuned (student) model is a combination of:</w:t>
            </w:r>
          </w:p>
          <w:p>
            <w:pPr>
              <w:spacing w:before="40" w:after="40"/>
            </w:pPr>
            <w:r>
              <w:rPr>
                <w:rFonts w:ascii="Arial" w:cs="Arial" w:eastAsia="Arial" w:hAnsi="Arial"/>
                <w:b/>
                <w:bCs/>
                <w:color w:val="1B3A4B"/>
                <w:sz w:val="20"/>
                <w:szCs w:val="20"/>
              </w:rPr>
              <w:t xml:space="preserve">► Knowledge Distillation (KD): the student acquired factual medical knowledge from</w:t>
            </w:r>
          </w:p>
          <w:p>
            <w:pPr>
              <w:spacing w:before="40" w:after="40"/>
            </w:pPr>
            <w:r>
              <w:rPr>
                <w:rFonts w:ascii="Arial" w:cs="Arial" w:eastAsia="Arial" w:hAnsi="Arial"/>
                <w:b w:val="false"/>
                <w:bCs w:val="false"/>
                <w:color w:val="1B3A4B"/>
                <w:sz w:val="20"/>
                <w:szCs w:val="20"/>
              </w:rPr>
              <w:t xml:space="preserve">  the teacher's traces that the 1.5B base model lacks.</w:t>
            </w:r>
          </w:p>
          <w:p>
            <w:pPr>
              <w:spacing w:before="40" w:after="40"/>
            </w:pPr>
            <w:r>
              <w:rPr>
                <w:rFonts w:ascii="Arial" w:cs="Arial" w:eastAsia="Arial" w:hAnsi="Arial"/>
                <w:b/>
                <w:bCs/>
                <w:color w:val="1B3A4B"/>
                <w:sz w:val="20"/>
                <w:szCs w:val="20"/>
              </w:rPr>
              <w:t xml:space="preserve">► Chain-of-Thought Distillation (CoT-D): the student acquired a structured</w:t>
            </w:r>
          </w:p>
          <w:p>
            <w:pPr>
              <w:spacing w:before="40" w:after="40"/>
            </w:pPr>
            <w:r>
              <w:rPr>
                <w:rFonts w:ascii="Arial" w:cs="Arial" w:eastAsia="Arial" w:hAnsi="Arial"/>
                <w:b w:val="false"/>
                <w:bCs w:val="false"/>
                <w:color w:val="1B3A4B"/>
                <w:sz w:val="20"/>
                <w:szCs w:val="20"/>
              </w:rPr>
              <w:t xml:space="preserve">  reasoning process that improves reliability beyond raw knowledge alone.</w:t>
            </w:r>
          </w:p>
          <w:p>
            <w:pPr>
              <w:spacing w:before="40" w:after="40"/>
            </w:pPr>
            <w:r>
              <w:rPr>
                <w:rFonts w:ascii="Arial" w:cs="Arial" w:eastAsia="Arial" w:hAnsi="Arial"/>
                <w:b w:val="false"/>
                <w:bCs w:val="false"/>
                <w:color w:val="1B3A4B"/>
                <w:sz w:val="20"/>
                <w:szCs w:val="20"/>
              </w:rPr>
              <w:t xml:space="preserve"/>
            </w:r>
          </w:p>
          <w:p>
            <w:pPr>
              <w:spacing w:before="40" w:after="40"/>
            </w:pPr>
            <w:r>
              <w:rPr>
                <w:rFonts w:ascii="Arial" w:cs="Arial" w:eastAsia="Arial" w:hAnsi="Arial"/>
                <w:b w:val="false"/>
                <w:bCs w:val="false"/>
                <w:color w:val="1B3A4B"/>
                <w:sz w:val="20"/>
                <w:szCs w:val="20"/>
              </w:rPr>
              <w:t xml:space="preserve">These components operate simultaneously and cannot be cleanly separated, but</w:t>
            </w:r>
          </w:p>
          <w:p>
            <w:pPr>
              <w:spacing w:before="40" w:after="40"/>
            </w:pPr>
            <w:r>
              <w:rPr>
                <w:rFonts w:ascii="Arial" w:cs="Arial" w:eastAsia="Arial" w:hAnsi="Arial"/>
                <w:b w:val="false"/>
                <w:bCs w:val="false"/>
                <w:color w:val="1B3A4B"/>
                <w:sz w:val="20"/>
                <w:szCs w:val="20"/>
              </w:rPr>
              <w:t xml:space="preserve">the data allows each to be bounded independently.</w:t>
            </w:r>
          </w:p>
        </w:tc>
      </w:tr>
    </w:tbl>
    <w:p>
      <w:pPr>
        <w:spacing w:before="40" w:after="40"/>
      </w:pPr>
    </w:p>
    <w:p>
      <w:r>
        <w:br w:type="page"/>
      </w:r>
    </w:p>
    <w:p>
      <w:pPr>
        <w:pStyle w:val="Heading1"/>
        <w:spacing w:before="360" w:after="160"/>
      </w:pPr>
      <w:r>
        <w:rPr>
          <w:rFonts w:ascii="Arial" w:cs="Arial" w:eastAsia="Arial" w:hAnsi="Arial"/>
          <w:b/>
          <w:bCs/>
          <w:color w:val="1B3A4B"/>
          <w:sz w:val="36"/>
          <w:szCs w:val="36"/>
        </w:rPr>
        <w:t xml:space="preserve">2. Data and Benchmark</w:t>
      </w:r>
    </w:p>
    <w:p>
      <w:pPr>
        <w:pStyle w:val="Heading2"/>
        <w:spacing w:before="280" w:after="120"/>
      </w:pPr>
      <w:r>
        <w:rPr>
          <w:rFonts w:ascii="Arial" w:cs="Arial" w:eastAsia="Arial" w:hAnsi="Arial"/>
          <w:b/>
          <w:bCs/>
          <w:color w:val="1A6B5E"/>
          <w:sz w:val="28"/>
          <w:szCs w:val="28"/>
        </w:rPr>
        <w:t xml:space="preserve">2.1 Files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12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56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navyresults.csv</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1,976</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model results (ft_* columns), same 1,976 cases as base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deepseek_analysis_results.csv</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1,976</w:t>
            </w:r>
          </w:p>
        </w:tc>
        <w:tc>
          <w:tcPr>
            <w:tcW w:type="dxa" w:w="5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Teacher model results (ft_* columns), row-aligned with navyresults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base_results.csv</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1,976</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 model results, same 1,976 cases — enables all pairwise McNemar tests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base.csv</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27,501</w:t>
            </w:r>
          </w:p>
        </w:tc>
        <w:tc>
          <w:tcPr>
            <w:tcW w:type="dxa" w:w="5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Full training corpus (Disease + Synonyms columns) — frequency derivation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disease_frequencies.csv</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1,027</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Summary frequency file (60 eval diseases failed name-matching — superseded by base.csv)</w:t>
            </w:r>
          </w:p>
        </w:tc>
      </w:tr>
    </w:tbl>
    <w:p>
      <w:pPr>
        <w:spacing w:before="40" w:after="40"/>
      </w:pPr>
    </w:p>
    <w:p>
      <w:pPr>
        <w:pStyle w:val="Heading2"/>
        <w:spacing w:before="280" w:after="120"/>
      </w:pPr>
      <w:r>
        <w:rPr>
          <w:rFonts w:ascii="Arial" w:cs="Arial" w:eastAsia="Arial" w:hAnsi="Arial"/>
          <w:b/>
          <w:bCs/>
          <w:color w:val="1A6B5E"/>
          <w:sz w:val="28"/>
          <w:szCs w:val="28"/>
        </w:rPr>
        <w:t xml:space="preserve">2.2 Critical Data Structure Note</w:t>
      </w:r>
    </w:p>
    <w:p>
      <w:pPr>
        <w:spacing w:before="60" w:after="100"/>
      </w:pPr>
      <w:r>
        <w:rPr>
          <w:rFonts w:ascii="Arial" w:cs="Arial" w:eastAsia="Arial" w:hAnsi="Arial"/>
          <w:color w:val="555555"/>
          <w:sz w:val="22"/>
          <w:szCs w:val="22"/>
        </w:rPr>
        <w:t xml:space="preserve">In early iterations, the base model results came from a different case pool (base_case_idx 0–6914, subsampled to 1,976) than the student and teacher (indices 0–1,975 sequential). This made McNemar's test invalid for base-vs-student and base-vs-teacher comparisons, and made three-way contingency tables meaningless.</w:t>
      </w:r>
    </w:p>
    <w:p>
      <w:pPr>
        <w:spacing w:before="60" w:after="100"/>
      </w:pPr>
      <w:r>
        <w:rPr>
          <w:rFonts w:ascii="Arial" w:cs="Arial" w:eastAsia="Arial" w:hAnsi="Arial"/>
          <w:color w:val="555555"/>
          <w:sz w:val="22"/>
          <w:szCs w:val="22"/>
        </w:rPr>
        <w:t xml:space="preserve">base_results.csv provides the base model's predictions on the SAME 1,976 cases (case_idx 0–1,975, sequential, row-aligned). This was the critical structural correction that enabled all pairwise comparisons and three-way decomposition.</w:t>
      </w:r>
    </w:p>
    <w:p>
      <w:pPr>
        <w:pStyle w:val="Heading2"/>
        <w:spacing w:before="280" w:after="120"/>
      </w:pPr>
      <w:r>
        <w:rPr>
          <w:rFonts w:ascii="Arial" w:cs="Arial" w:eastAsia="Arial" w:hAnsi="Arial"/>
          <w:b/>
          <w:bCs/>
          <w:color w:val="1A6B5E"/>
          <w:sz w:val="28"/>
          <w:szCs w:val="28"/>
        </w:rPr>
        <w:t xml:space="preserve">2.3 Benchmark Design</w:t>
      </w:r>
    </w:p>
    <w:p>
      <w:pPr>
        <w:spacing w:before="40" w:after="60"/>
      </w:pPr>
      <w:r>
        <w:rPr>
          <w:rFonts w:ascii="Arial" w:cs="Arial" w:eastAsia="Arial" w:hAnsi="Arial"/>
          <w:b/>
          <w:bCs/>
          <w:color w:val="1B3A4B"/>
          <w:sz w:val="22"/>
          <w:szCs w:val="22"/>
        </w:rPr>
        <w:t xml:space="preserve">Scale: </w:t>
      </w:r>
      <w:r>
        <w:rPr>
          <w:rFonts w:ascii="Arial" w:cs="Arial" w:eastAsia="Arial" w:hAnsi="Arial"/>
          <w:color w:val="555555"/>
          <w:sz w:val="22"/>
          <w:szCs w:val="22"/>
        </w:rPr>
        <w:t xml:space="preserve">247 unique rare diseases × 8 clinical cases each = 1,976 total cases</w:t>
      </w:r>
    </w:p>
    <w:p>
      <w:pPr>
        <w:spacing w:before="40" w:after="60"/>
      </w:pPr>
      <w:r>
        <w:rPr>
          <w:rFonts w:ascii="Arial" w:cs="Arial" w:eastAsia="Arial" w:hAnsi="Arial"/>
          <w:b/>
          <w:bCs/>
          <w:color w:val="1B3A4B"/>
          <w:sz w:val="22"/>
          <w:szCs w:val="22"/>
        </w:rPr>
        <w:t xml:space="preserve">Source: </w:t>
      </w:r>
      <w:r>
        <w:rPr>
          <w:rFonts w:ascii="Arial" w:cs="Arial" w:eastAsia="Arial" w:hAnsi="Arial"/>
          <w:color w:val="555555"/>
          <w:sz w:val="22"/>
          <w:szCs w:val="22"/>
        </w:rPr>
        <w:t xml:space="preserve">ZebraMap — curated rare disease case summaries with ground-truth labels</w:t>
      </w:r>
    </w:p>
    <w:p>
      <w:pPr>
        <w:spacing w:before="40" w:after="60"/>
      </w:pPr>
      <w:r>
        <w:rPr>
          <w:rFonts w:ascii="Arial" w:cs="Arial" w:eastAsia="Arial" w:hAnsi="Arial"/>
          <w:b/>
          <w:bCs/>
          <w:color w:val="1B3A4B"/>
          <w:sz w:val="22"/>
          <w:szCs w:val="22"/>
        </w:rPr>
        <w:t xml:space="preserve">Disease representation: </w:t>
      </w:r>
      <w:r>
        <w:rPr>
          <w:rFonts w:ascii="Arial" w:cs="Arial" w:eastAsia="Arial" w:hAnsi="Arial"/>
          <w:color w:val="555555"/>
          <w:sz w:val="22"/>
          <w:szCs w:val="22"/>
        </w:rPr>
        <w:t xml:space="preserve">All 247 evaluation diseases are present in base.csv training data (freq range 10–416, median 55)</w:t>
      </w:r>
    </w:p>
    <w:p>
      <w:pPr>
        <w:spacing w:before="40" w:after="60"/>
      </w:pPr>
      <w:r>
        <w:rPr>
          <w:rFonts w:ascii="Arial" w:cs="Arial" w:eastAsia="Arial" w:hAnsi="Arial"/>
          <w:b/>
          <w:bCs/>
          <w:color w:val="1B3A4B"/>
          <w:sz w:val="22"/>
          <w:szCs w:val="22"/>
        </w:rPr>
        <w:t xml:space="preserve">Previously 'unmatched' diseases: </w:t>
      </w:r>
      <w:r>
        <w:rPr>
          <w:rFonts w:ascii="Arial" w:cs="Arial" w:eastAsia="Arial" w:hAnsi="Arial"/>
          <w:color w:val="555555"/>
          <w:sz w:val="22"/>
          <w:szCs w:val="22"/>
        </w:rPr>
        <w:t xml:space="preserve">60 diseases that failed name-matching against disease_frequencies.csv were present in base.csv at frequencies 10–218. The prior 'unmatched' addendum was retracted.</w:t>
      </w:r>
    </w:p>
    <w:p>
      <w:pPr>
        <w:spacing w:before="40" w:after="60"/>
      </w:pPr>
      <w:r>
        <w:rPr>
          <w:rFonts w:ascii="Arial" w:cs="Arial" w:eastAsia="Arial" w:hAnsi="Arial"/>
          <w:b/>
          <w:bCs/>
          <w:color w:val="1B3A4B"/>
          <w:sz w:val="22"/>
          <w:szCs w:val="22"/>
        </w:rPr>
        <w:t xml:space="preserve">Per-disease accuracy resolution: </w:t>
      </w:r>
      <w:r>
        <w:rPr>
          <w:rFonts w:ascii="Arial" w:cs="Arial" w:eastAsia="Arial" w:hAnsi="Arial"/>
          <w:color w:val="555555"/>
          <w:sz w:val="22"/>
          <w:szCs w:val="22"/>
        </w:rPr>
        <w:t xml:space="preserve">8 cases per disease means accuracy estimates take values at multiples of 0.125 — high discretisation noise in per-disease analyses</w:t>
      </w:r>
    </w:p>
    <w:p>
      <w:pPr>
        <w:pStyle w:val="Heading2"/>
        <w:spacing w:before="280" w:after="120"/>
      </w:pPr>
      <w:r>
        <w:rPr>
          <w:rFonts w:ascii="Arial" w:cs="Arial" w:eastAsia="Arial" w:hAnsi="Arial"/>
          <w:b/>
          <w:bCs/>
          <w:color w:val="1A6B5E"/>
          <w:sz w:val="28"/>
          <w:szCs w:val="28"/>
        </w:rPr>
        <w:t xml:space="preserve">2.4 Response Format</w:t>
      </w:r>
    </w:p>
    <w:p>
      <w:pPr>
        <w:spacing w:before="60" w:after="100"/>
      </w:pPr>
      <w:r>
        <w:rPr>
          <w:rFonts w:ascii="Arial" w:cs="Arial" w:eastAsia="Arial" w:hAnsi="Arial"/>
          <w:color w:val="555555"/>
          <w:sz w:val="22"/>
          <w:szCs w:val="22"/>
        </w:rPr>
        <w:t xml:space="preserve">Base model: free-form prose. No structure, no tags, no traceability.</w:t>
      </w:r>
    </w:p>
    <w:p>
      <w:pPr>
        <w:spacing w:before="60" w:after="100"/>
      </w:pPr>
      <w:r>
        <w:rPr>
          <w:rFonts w:ascii="Arial" w:cs="Arial" w:eastAsia="Arial" w:hAnsi="Arial"/>
          <w:color w:val="555555"/>
          <w:sz w:val="22"/>
          <w:szCs w:val="22"/>
        </w:rPr>
        <w:t xml:space="preserve">Student and Teacher: structured output: &lt;chain-of-thought text&gt; &lt;/think&gt; &lt;diagnosis&gt;Disease Name&lt;/diagnosis&gt;</w:t>
      </w:r>
    </w:p>
    <w:p>
      <w:pPr>
        <w:spacing w:before="60" w:after="100"/>
      </w:pPr>
      <w:r>
        <w:rPr>
          <w:rFonts w:ascii="Arial" w:cs="Arial" w:eastAsia="Arial" w:hAnsi="Arial"/>
          <w:color w:val="555555"/>
          <w:sz w:val="22"/>
          <w:szCs w:val="22"/>
        </w:rPr>
        <w:t xml:space="preserve">This structured format is what CoT-D was intended to transfer. The presence or absence of the &lt;/think&gt; and &lt;diagnosis&gt; tags is itself measurable evidence of format acquisition.</w:t>
      </w:r>
    </w:p>
    <w:p>
      <w:r>
        <w:br w:type="page"/>
      </w:r>
    </w:p>
    <w:p>
      <w:pPr>
        <w:pStyle w:val="Heading1"/>
        <w:spacing w:before="360" w:after="160"/>
      </w:pPr>
      <w:r>
        <w:rPr>
          <w:rFonts w:ascii="Arial" w:cs="Arial" w:eastAsia="Arial" w:hAnsi="Arial"/>
          <w:b/>
          <w:bCs/>
          <w:color w:val="1B3A4B"/>
          <w:sz w:val="36"/>
          <w:szCs w:val="36"/>
        </w:rPr>
        <w:t xml:space="preserve">3. Methodology</w:t>
      </w:r>
    </w:p>
    <w:p>
      <w:pPr>
        <w:pStyle w:val="Heading2"/>
        <w:spacing w:before="280" w:after="120"/>
      </w:pPr>
      <w:r>
        <w:rPr>
          <w:rFonts w:ascii="Arial" w:cs="Arial" w:eastAsia="Arial" w:hAnsi="Arial"/>
          <w:b/>
          <w:bCs/>
          <w:color w:val="1A6B5E"/>
          <w:sz w:val="28"/>
          <w:szCs w:val="28"/>
        </w:rPr>
        <w:t xml:space="preserve">3.1 Correctness Metrics</w:t>
      </w:r>
    </w:p>
    <w:p>
      <w:pPr>
        <w:pStyle w:val="Heading3"/>
        <w:spacing w:before="200" w:after="80"/>
      </w:pPr>
      <w:r>
        <w:rPr>
          <w:rFonts w:ascii="Arial" w:cs="Arial" w:eastAsia="Arial" w:hAnsi="Arial"/>
          <w:b/>
          <w:bCs/>
          <w:color w:val="2E5F8A"/>
          <w:sz w:val="24"/>
          <w:szCs w:val="24"/>
        </w:rPr>
        <w:t xml:space="preserve">M1 — Original Full-Response Match</w:t>
      </w:r>
    </w:p>
    <w:p>
      <w:pPr>
        <w:spacing w:before="60" w:after="100"/>
      </w:pPr>
      <w:r>
        <w:rPr>
          <w:rFonts w:ascii="Arial" w:cs="Arial" w:eastAsia="Arial" w:hAnsi="Arial"/>
          <w:color w:val="555555"/>
          <w:sz w:val="22"/>
          <w:szCs w:val="22"/>
        </w:rPr>
        <w:t xml:space="preserve">Pre-computed correct field in source data. Disease name or any listed synonym appears anywhere in the full model response (including reasoning chain). Binary 0/1. Used for all three models.</w:t>
      </w:r>
    </w:p>
    <w:p>
      <w:pPr>
        <w:spacing w:before="60" w:after="100"/>
      </w:pPr>
      <w:r>
        <w:rPr>
          <w:rFonts w:ascii="Arial" w:cs="Arial" w:eastAsia="Arial" w:hAnsi="Arial"/>
          <w:color w:val="555555"/>
          <w:sz w:val="22"/>
          <w:szCs w:val="22"/>
        </w:rPr>
        <w:t xml:space="preserve">Limitation: credits the disease if it was mentioned in reasoning and then rejected; credits echoing the diagnosis from the case text in the base model's response. M1 inflates all models unevenly — student think chains are longest, so student M1 is most inflated relative to final-answer quality.</w:t>
      </w:r>
    </w:p>
    <w:p>
      <w:pPr>
        <w:pStyle w:val="Heading3"/>
        <w:spacing w:before="200" w:after="80"/>
      </w:pPr>
      <w:r>
        <w:rPr>
          <w:rFonts w:ascii="Arial" w:cs="Arial" w:eastAsia="Arial" w:hAnsi="Arial"/>
          <w:b/>
          <w:bCs/>
          <w:color w:val="2E5F8A"/>
          <w:sz w:val="24"/>
          <w:szCs w:val="24"/>
        </w:rPr>
        <w:t xml:space="preserve">M2 — Label-Leak-Corrected Base Accuracy (base only)</w:t>
      </w:r>
    </w:p>
    <w:p>
      <w:pPr>
        <w:spacing w:before="60" w:after="100"/>
      </w:pPr>
      <w:r>
        <w:rPr>
          <w:rFonts w:ascii="Arial" w:cs="Arial" w:eastAsia="Arial" w:hAnsi="Arial"/>
          <w:color w:val="555555"/>
          <w:sz w:val="22"/>
          <w:szCs w:val="22"/>
        </w:rPr>
        <w:t xml:space="preserve">The base model occasionally echoes the diagnosis directly from the case text in its opening sentence. Detection requires both conditions: (a) response starts with an ECHO_OPENER regex phrase, and (b) disease name appears within the first M2_CHAR_LIMIT (default 300) normalised characters. Applied only to base_correct=True rows.</w:t>
      </w:r>
    </w:p>
    <w:p>
      <w:pPr>
        <w:spacing w:before="60" w:after="100"/>
      </w:pPr>
      <w:r>
        <w:rPr>
          <w:rFonts w:ascii="Arial" w:cs="Arial" w:eastAsia="Arial" w:hAnsi="Arial"/>
          <w:color w:val="555555"/>
          <w:sz w:val="22"/>
          <w:szCs w:val="22"/>
        </w:rPr>
        <w:t xml:space="preserve">Sensitivity sweep: p50 of first-mention position ≈ 94 chars, p75 ≈ 156, p90 ≈ 427. The 300-char default captures p90 of leaks; marginal discovery drops to near-zero beyond 400. Values below 150 under-correct; above 500 risk flagging genuine reasoning. M2 (6.0%) is a lower bound on genuine base accuracy.</w:t>
      </w:r>
    </w:p>
    <w:p>
      <w:pPr>
        <w:spacing w:before="60" w:after="100"/>
      </w:pPr>
      <w:r>
        <w:rPr>
          <w:rFonts w:ascii="Arial" w:cs="Arial" w:eastAsia="Arial" w:hAnsi="Arial"/>
          <w:color w:val="555555"/>
          <w:sz w:val="22"/>
          <w:szCs w:val="22"/>
        </w:rPr>
        <w:t xml:space="preserve">Limitation: the opener regex may produce false-positives (a genuinely reasoned response opening with 'based on the case...'); the char limit is empirically motivated but arbitrary.</w:t>
      </w:r>
    </w:p>
    <w:p>
      <w:pPr>
        <w:pStyle w:val="Heading3"/>
        <w:spacing w:before="200" w:after="80"/>
      </w:pPr>
      <w:r>
        <w:rPr>
          <w:rFonts w:ascii="Arial" w:cs="Arial" w:eastAsia="Arial" w:hAnsi="Arial"/>
          <w:b/>
          <w:bCs/>
          <w:color w:val="2E5F8A"/>
          <w:sz w:val="24"/>
          <w:szCs w:val="24"/>
        </w:rPr>
        <w:t xml:space="preserve">M3 — Extracted-Diagnosis Match (student and teacher only)</w:t>
      </w:r>
    </w:p>
    <w:p>
      <w:pPr>
        <w:spacing w:before="60" w:after="100"/>
      </w:pPr>
      <w:r>
        <w:rPr>
          <w:rFonts w:ascii="Arial" w:cs="Arial" w:eastAsia="Arial" w:hAnsi="Arial"/>
          <w:color w:val="555555"/>
          <w:sz w:val="22"/>
          <w:szCs w:val="22"/>
        </w:rPr>
        <w:t xml:space="preserve">Extract text between &lt;diagnosis&gt; tags; run bidirectional substring match on that string alone. No credit for disease in reasoning chain. 147 student and 365 teacher responses lack a tag and are scored 0. M3 is conservative — it understates tag-absent-but-correct cases. Teacher's higher no-tag rate (365 vs 147) reflects that the 8B teacher sometimes decides not to use the format; the student, trained to always produce it, complies more uniformly.</w:t>
      </w:r>
    </w:p>
    <w:p>
      <w:pPr>
        <w:pStyle w:val="Heading2"/>
        <w:spacing w:before="280" w:after="120"/>
      </w:pPr>
      <w:r>
        <w:rPr>
          <w:rFonts w:ascii="Arial" w:cs="Arial" w:eastAsia="Arial" w:hAnsi="Arial"/>
          <w:b/>
          <w:bCs/>
          <w:color w:val="1A6B5E"/>
          <w:sz w:val="28"/>
          <w:szCs w:val="28"/>
        </w:rPr>
        <w:t xml:space="preserve">3.2 Statistical Tests</w:t>
      </w:r>
    </w:p>
    <w:p>
      <w:pPr>
        <w:pStyle w:val="Heading3"/>
        <w:spacing w:before="200" w:after="80"/>
      </w:pPr>
      <w:r>
        <w:rPr>
          <w:rFonts w:ascii="Arial" w:cs="Arial" w:eastAsia="Arial" w:hAnsi="Arial"/>
          <w:b/>
          <w:bCs/>
          <w:color w:val="2E5F8A"/>
          <w:sz w:val="24"/>
          <w:szCs w:val="24"/>
        </w:rPr>
        <w:t xml:space="preserve">Clustered Bootstrap CI (primary uncertainty estimate)</w:t>
      </w:r>
    </w:p>
    <w:p>
      <w:pPr>
        <w:spacing w:before="60" w:after="100"/>
      </w:pPr>
      <w:r>
        <w:rPr>
          <w:rFonts w:ascii="Arial" w:cs="Arial" w:eastAsia="Arial" w:hAnsi="Arial"/>
          <w:color w:val="555555"/>
          <w:sz w:val="22"/>
          <w:szCs w:val="22"/>
        </w:rPr>
        <w:t xml:space="preserve">Resamples 247 disease clusters (rather than individual cases) to account for within-disease correlation. Eight cases from the same disease share phenotype and are not iid. Standard iid bootstrap underestimates variance. All reported CIs use B=5,000 replicates, percentile method, 95% coverage.</w:t>
      </w:r>
    </w:p>
    <w:p>
      <w:pPr>
        <w:pStyle w:val="Heading3"/>
        <w:spacing w:before="200" w:after="80"/>
      </w:pPr>
      <w:r>
        <w:rPr>
          <w:rFonts w:ascii="Arial" w:cs="Arial" w:eastAsia="Arial" w:hAnsi="Arial"/>
          <w:b/>
          <w:bCs/>
          <w:color w:val="2E5F8A"/>
          <w:sz w:val="24"/>
          <w:szCs w:val="24"/>
        </w:rPr>
        <w:t xml:space="preserve">Clustered Bootstrap Permutation Test (primary significance test)</w:t>
      </w:r>
    </w:p>
    <w:p>
      <w:pPr>
        <w:spacing w:before="60" w:after="100"/>
      </w:pPr>
      <w:r>
        <w:rPr>
          <w:rFonts w:ascii="Arial" w:cs="Arial" w:eastAsia="Arial" w:hAnsi="Arial"/>
          <w:color w:val="555555"/>
          <w:sz w:val="22"/>
          <w:szCs w:val="22"/>
        </w:rPr>
        <w:t xml:space="preserve">Under H0: equal accuracy, swaps model labels within disease clusters with probability 0.5, builds null distribution of differences across B=5,000 replicates. Two-tailed p-value = P(|null diff| ≥ |observed diff|). Valid for all three model pairs (now all same cases). Accounts for clustering.</w:t>
      </w:r>
    </w:p>
    <w:p>
      <w:pPr>
        <w:pStyle w:val="Heading3"/>
        <w:spacing w:before="200" w:after="80"/>
      </w:pPr>
      <w:r>
        <w:rPr>
          <w:rFonts w:ascii="Arial" w:cs="Arial" w:eastAsia="Arial" w:hAnsi="Arial"/>
          <w:b/>
          <w:bCs/>
          <w:color w:val="2E5F8A"/>
          <w:sz w:val="24"/>
          <w:szCs w:val="24"/>
        </w:rPr>
        <w:t xml:space="preserve">McNemar's Test (secondary, reported alongside permutation test)</w:t>
      </w:r>
    </w:p>
    <w:p>
      <w:pPr>
        <w:spacing w:before="60" w:after="100"/>
      </w:pPr>
      <w:r>
        <w:rPr>
          <w:rFonts w:ascii="Arial" w:cs="Arial" w:eastAsia="Arial" w:hAnsi="Arial"/>
          <w:color w:val="555555"/>
          <w:sz w:val="22"/>
          <w:szCs w:val="22"/>
        </w:rPr>
        <w:t xml:space="preserve">Operates on discordant pairs only. Valid for all three pairs with aligned data. Uses exact mid-p for discordant pairs &lt; 25; continuity-corrected chi-square otherwise. Limitation: does not account for clustering, so p-values are anti-conservative relative to the permutation test. Report McNemar as indicative, permutation test as the definitive result.</w:t>
      </w:r>
    </w:p>
    <w:p>
      <w:pPr>
        <w:pStyle w:val="Heading2"/>
        <w:spacing w:before="280" w:after="120"/>
      </w:pPr>
      <w:r>
        <w:rPr>
          <w:rFonts w:ascii="Arial" w:cs="Arial" w:eastAsia="Arial" w:hAnsi="Arial"/>
          <w:b/>
          <w:bCs/>
          <w:color w:val="1A6B5E"/>
          <w:sz w:val="28"/>
          <w:szCs w:val="28"/>
        </w:rPr>
        <w:t xml:space="preserve">3.3 Training Frequency Derivation</w:t>
      </w:r>
    </w:p>
    <w:p>
      <w:pPr>
        <w:spacing w:before="60" w:after="100"/>
      </w:pPr>
      <w:r>
        <w:rPr>
          <w:rFonts w:ascii="Arial" w:cs="Arial" w:eastAsia="Arial" w:hAnsi="Arial"/>
          <w:color w:val="555555"/>
          <w:sz w:val="22"/>
          <w:szCs w:val="22"/>
        </w:rPr>
        <w:t xml:space="preserve">Frequency = count of rows in base.csv with that disease name. Matching: exact normalised name, then synonym lookup from Synonyms column, then partial string (longest common substring ≥ 4 chars). All 247 evaluation diseases matched; range 10–416, median 55.</w:t>
      </w:r>
    </w:p>
    <w:p>
      <w:pPr>
        <w:spacing w:before="60" w:after="100"/>
      </w:pPr>
      <w:r>
        <w:rPr>
          <w:rFonts w:ascii="Arial" w:cs="Arial" w:eastAsia="Arial" w:hAnsi="Arial"/>
          <w:color w:val="555555"/>
          <w:sz w:val="22"/>
          <w:szCs w:val="22"/>
        </w:rPr>
        <w:t xml:space="preserve">OLS regression: log(1+freq) → per-disease accuracy delta. Log transformation handles right-skew. Per-disease estimates from 8 binary observations are highly noisy (accuracy values at multiples of 0.125). R² is expected to be low. Interpret slope direction and significance, not R² as effect size.</w:t>
      </w:r>
    </w:p>
    <w:p>
      <w:pPr>
        <w:spacing w:before="60" w:after="100"/>
      </w:pPr>
      <w:r>
        <w:rPr>
          <w:rFonts w:ascii="Arial" w:cs="Arial" w:eastAsia="Arial" w:hAnsi="Arial"/>
          <w:color w:val="555555"/>
          <w:sz w:val="22"/>
          <w:szCs w:val="22"/>
        </w:rPr>
        <w:t xml:space="preserve">Spearman ρ reported alongside OLS as a non-parametric, rank-based alternative requiring no linearity assumption.</w:t>
      </w:r>
    </w:p>
    <w:p>
      <w:pPr>
        <w:pStyle w:val="Heading2"/>
        <w:spacing w:before="280" w:after="120"/>
      </w:pPr>
      <w:r>
        <w:rPr>
          <w:rFonts w:ascii="Arial" w:cs="Arial" w:eastAsia="Arial" w:hAnsi="Arial"/>
          <w:b/>
          <w:bCs/>
          <w:color w:val="1A6B5E"/>
          <w:sz w:val="28"/>
          <w:szCs w:val="28"/>
        </w:rPr>
        <w:t xml:space="preserve">3.4 GT Contamination Detection</w:t>
      </w:r>
    </w:p>
    <w:p>
      <w:pPr>
        <w:spacing w:before="60" w:after="100"/>
      </w:pPr>
      <w:r>
        <w:rPr>
          <w:rFonts w:ascii="Arial" w:cs="Arial" w:eastAsia="Arial" w:hAnsi="Arial"/>
          <w:color w:val="555555"/>
          <w:sz w:val="22"/>
          <w:szCs w:val="22"/>
        </w:rPr>
        <w:t xml:space="preserve">Regex: r"ground truth is ['\"]*([A-Z][^'\"\n&lt;,]{3,80})" applied to student think chain. Extracted string checked bidirectionally against true disease via normalised substring matching. If no match → GT-wrong. Student's &lt;diagnosis&gt; tag checked against GT string to determine if student followed it. This regex only catches explicit 'ground truth is X' phrasing — contamination via other phrasings is missed, so all reported rates are lower bounds.</w:t>
      </w:r>
    </w:p>
    <w:p>
      <w:pPr>
        <w:pStyle w:val="Heading2"/>
        <w:spacing w:before="280" w:after="120"/>
      </w:pPr>
      <w:r>
        <w:rPr>
          <w:rFonts w:ascii="Arial" w:cs="Arial" w:eastAsia="Arial" w:hAnsi="Arial"/>
          <w:b/>
          <w:bCs/>
          <w:color w:val="1A6B5E"/>
          <w:sz w:val="28"/>
          <w:szCs w:val="28"/>
        </w:rPr>
        <w:t xml:space="preserve">3.5 Counterfactual Analysis</w:t>
      </w:r>
    </w:p>
    <w:p>
      <w:pPr>
        <w:pStyle w:val="Heading3"/>
        <w:spacing w:before="200" w:after="80"/>
      </w:pPr>
      <w:r>
        <w:rPr>
          <w:rFonts w:ascii="Arial" w:cs="Arial" w:eastAsia="Arial" w:hAnsi="Arial"/>
          <w:b/>
          <w:bCs/>
          <w:color w:val="2E5F8A"/>
          <w:sz w:val="24"/>
          <w:szCs w:val="24"/>
        </w:rPr>
        <w:t xml:space="preserve">CF1 — Conservative</w:t>
      </w:r>
    </w:p>
    <w:p>
      <w:pPr>
        <w:spacing w:before="60" w:after="100"/>
      </w:pPr>
      <w:r>
        <w:rPr>
          <w:rFonts w:ascii="Arial" w:cs="Arial" w:eastAsia="Arial" w:hAnsi="Arial"/>
          <w:color w:val="555555"/>
          <w:sz w:val="22"/>
          <w:szCs w:val="22"/>
        </w:rPr>
        <w:t xml:space="preserve">The 492 GT-wrong cases currently achieve accuracy 0.175. CF1 assumes they would instead achieve the uncontaminated student baseline of 0.363 (the no-GT accuracy rate). Expected gain = n_GT_wrong × (acc_no_GT − acc_GT_wrong). Bootstrap CI: each replicate uses its own in-replicate no-GT accuracy as the counterfactual rate.</w:t>
      </w:r>
    </w:p>
    <w:p>
      <w:pPr>
        <w:pStyle w:val="Heading3"/>
        <w:spacing w:before="200" w:after="80"/>
      </w:pPr>
      <w:r>
        <w:rPr>
          <w:rFonts w:ascii="Arial" w:cs="Arial" w:eastAsia="Arial" w:hAnsi="Arial"/>
          <w:b/>
          <w:bCs/>
          <w:color w:val="2E5F8A"/>
          <w:sz w:val="24"/>
          <w:szCs w:val="24"/>
        </w:rPr>
        <w:t xml:space="preserve">CF2 — Optimistic</w:t>
      </w:r>
    </w:p>
    <w:p>
      <w:pPr>
        <w:spacing w:before="60" w:after="100"/>
      </w:pPr>
      <w:r>
        <w:rPr>
          <w:rFonts w:ascii="Arial" w:cs="Arial" w:eastAsia="Arial" w:hAnsi="Arial"/>
          <w:color w:val="555555"/>
          <w:sz w:val="22"/>
          <w:szCs w:val="22"/>
        </w:rPr>
        <w:t xml:space="preserve">For GT-wrong cases where the true disease appears in the think chain before the GT string position (requires both to be found in normalised think chain text, true at earlier character position), those cases are restored as correct. Remaining GT-wrong cases receive the no-GT rate as in CF1. CF2 is an upper bound.</w:t>
      </w:r>
    </w:p>
    <w:p>
      <w:pPr>
        <w:spacing w:before="60" w:after="100"/>
      </w:pPr>
      <w:r>
        <w:rPr>
          <w:rFonts w:ascii="Arial" w:cs="Arial" w:eastAsia="Arial" w:hAnsi="Arial"/>
          <w:color w:val="555555"/>
          <w:sz w:val="22"/>
          <w:szCs w:val="22"/>
        </w:rPr>
        <w:t xml:space="preserve">Shared limitation: the assumption that no-GT accuracy is the right counterfactual is unverifiable. GT-wrong cases may be systematically harder cases where the student would have underperformed even without contamination.</w:t>
      </w:r>
    </w:p>
    <w:p>
      <w:r>
        <w:br w:type="page"/>
      </w:r>
    </w:p>
    <w:p>
      <w:pPr>
        <w:pStyle w:val="Heading1"/>
        <w:spacing w:before="360" w:after="160"/>
      </w:pPr>
      <w:r>
        <w:rPr>
          <w:rFonts w:ascii="Arial" w:cs="Arial" w:eastAsia="Arial" w:hAnsi="Arial"/>
          <w:b/>
          <w:bCs/>
          <w:color w:val="1B3A4B"/>
          <w:sz w:val="36"/>
          <w:szCs w:val="36"/>
        </w:rPr>
        <w:t xml:space="preserve">4. Quantitative Analysis</w:t>
      </w:r>
    </w:p>
    <w:p>
      <w:pPr>
        <w:pStyle w:val="Heading2"/>
        <w:spacing w:before="280" w:after="120"/>
      </w:pPr>
      <w:r>
        <w:rPr>
          <w:rFonts w:ascii="Arial" w:cs="Arial" w:eastAsia="Arial" w:hAnsi="Arial"/>
          <w:b/>
          <w:bCs/>
          <w:color w:val="1A6B5E"/>
          <w:sz w:val="28"/>
          <w:szCs w:val="28"/>
        </w:rPr>
        <w:t xml:space="preserve">4.1 Accuracy Across All Metrics</w:t>
      </w:r>
    </w:p>
    <w:p>
      <w:pPr>
        <w:spacing w:before="60" w:after="100"/>
      </w:pPr>
      <w:r>
        <w:rPr>
          <w:rFonts w:ascii="Arial" w:cs="Arial" w:eastAsia="Arial" w:hAnsi="Arial"/>
          <w:color w:val="555555"/>
          <w:sz w:val="22"/>
          <w:szCs w:val="22"/>
        </w:rPr>
        <w:t xml:space="preserve">All three models evaluated on the same 1,976 cases. CIs are 95% clustered bootstrap (B=5,000, resampling disease clusters).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600"/>
        <w:gridCol w:w="1600"/>
        <w:gridCol w:w="1160"/>
      </w:tblGrid>
      <w:tr>
        <w:trPr>
          <w:tblHeader/>
        </w:trPr>
        <w:tc>
          <w:tcPr>
            <w:tcW w:type="dxa" w:w="36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 Metric</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6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 Lower</w:t>
            </w:r>
          </w:p>
        </w:tc>
        <w:tc>
          <w:tcPr>
            <w:tcW w:type="dxa" w:w="16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 Upper</w:t>
            </w:r>
          </w:p>
        </w:tc>
        <w:tc>
          <w:tcPr>
            <w:tcW w:type="dxa" w:w="11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 M1 (original, inflated by label-leaks)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0.2404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0.2085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0.2738</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0.0163</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Base M2 (label-leak corrected, limit=300)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0.0602</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0.0486</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0.0724</w:t>
            </w:r>
          </w:p>
        </w:tc>
        <w:tc>
          <w:tcPr>
            <w:tcW w:type="dxa" w:w="1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0.0060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M1 (full-response match)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0.3396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0.3011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0.3770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0.0196</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M3 (extracted &lt;diagnosis&gt; tag)</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0.2515</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0.2237</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0.2804</w:t>
            </w:r>
          </w:p>
        </w:tc>
        <w:tc>
          <w:tcPr>
            <w:tcW w:type="dxa" w:w="1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0.0142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Teacher M1 (full-response match)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0.3067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0.2697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0.3446</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0.0191</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Teacher M3 (extracted &lt;diagnosis&gt; tag)</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0.2404</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0.2136</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0.2677</w:t>
            </w:r>
          </w:p>
        </w:tc>
        <w:tc>
          <w:tcPr>
            <w:tcW w:type="dxa" w:w="1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0.0141</w:t>
            </w:r>
          </w:p>
        </w:tc>
      </w:tr>
    </w:tbl>
    <w:p>
      <w:pPr>
        <w:spacing w:before="40" w:after="40"/>
      </w:pPr>
    </w:p>
    <w:p>
      <w:pPr>
        <w:spacing w:before="60" w:after="100"/>
      </w:pPr>
      <w:r>
        <w:rPr>
          <w:rFonts w:ascii="Arial" w:cs="Arial" w:eastAsia="Arial" w:hAnsi="Arial"/>
          <w:color w:val="555555"/>
          <w:sz w:val="22"/>
          <w:szCs w:val="22"/>
        </w:rPr>
        <w:t xml:space="preserve">The headline: a 1.5B model fine-tuned with QLoRA on 8B teacher traces achieves 0.340 M1 accuracy vs the teacher's 0.307, on a specialised rare disease benchmark. Under corrected base (M2=0.060), the student's gain over the genuine base performance is 0.279 — more than 4× the base. This is not achievable through parameter scale alone; it is the signature of the fine-tuning process.</w:t>
      </w:r>
    </w:p>
    <w:p>
      <w:pPr>
        <w:pStyle w:val="Heading2"/>
        <w:spacing w:before="280" w:after="120"/>
      </w:pPr>
      <w:r>
        <w:rPr>
          <w:rFonts w:ascii="Arial" w:cs="Arial" w:eastAsia="Arial" w:hAnsi="Arial"/>
          <w:b/>
          <w:bCs/>
          <w:color w:val="1A6B5E"/>
          <w:sz w:val="28"/>
          <w:szCs w:val="28"/>
        </w:rPr>
        <w:t xml:space="preserve">4.2 Label-Leak Analysis (M1 Inflation for Base)</w:t>
      </w:r>
    </w:p>
    <w:p>
      <w:pPr>
        <w:spacing w:before="60" w:after="100"/>
      </w:pPr>
      <w:r>
        <w:rPr>
          <w:rFonts w:ascii="Arial" w:cs="Arial" w:eastAsia="Arial" w:hAnsi="Arial"/>
          <w:color w:val="555555"/>
          <w:sz w:val="22"/>
          <w:szCs w:val="22"/>
        </w:rPr>
        <w:t xml:space="preserve">Of 475 base M1-correct cases, 356 (74.9%) are flagged as label-leaks — the base model opened with a case-echo phrase and the disease name appeared in the first 300 chars. This is the base model restating the diagnosis from the case text rather than reasoning to it.</w:t>
      </w:r>
    </w:p>
    <w:p>
      <w:pPr>
        <w:spacing w:before="60" w:after="100"/>
      </w:pPr>
      <w:r>
        <w:rPr>
          <w:rFonts w:ascii="Arial" w:cs="Arial" w:eastAsia="Arial" w:hAnsi="Arial"/>
          <w:color w:val="555555"/>
          <w:sz w:val="22"/>
          <w:szCs w:val="22"/>
        </w:rPr>
        <w:t xml:space="preserve">M2 sensitivity sweep elbow: beyond 300–400 chars, marginal new leak discovery is near-zero. The 300-char default captures p90 of leaks. Reducing the limit to 150 still flags 62.3% of the inflated cases. The M2 corrected figure (6.0%) is best interpreted as a lower bound; the true genuine base accuracy is between 6.0% and the M1 value of 24.0%.</w:t>
      </w:r>
    </w:p>
    <w:p>
      <w:pPr>
        <w:pStyle w:val="Heading2"/>
        <w:spacing w:before="280" w:after="120"/>
      </w:pPr>
      <w:r>
        <w:rPr>
          <w:rFonts w:ascii="Arial" w:cs="Arial" w:eastAsia="Arial" w:hAnsi="Arial"/>
          <w:b/>
          <w:bCs/>
          <w:color w:val="1A6B5E"/>
          <w:sz w:val="28"/>
          <w:szCs w:val="28"/>
        </w:rPr>
        <w:t xml:space="preserve">4.3 Statistical Tests — All Three Pairwise Comparisons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200"/>
        <w:gridCol w:w="1200"/>
        <w:gridCol w:w="1300"/>
        <w:gridCol w:w="1000"/>
        <w:gridCol w:w="660"/>
      </w:tblGrid>
      <w:tr>
        <w:trPr>
          <w:tblHeader/>
        </w:trPr>
        <w:tc>
          <w:tcPr>
            <w:tcW w:type="dxa" w:w="2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Pair</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A-only wins</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B-only wins</w:t>
            </w:r>
          </w:p>
        </w:tc>
        <w:tc>
          <w:tcPr>
            <w:tcW w:type="dxa" w:w="12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Both right</w:t>
            </w:r>
          </w:p>
        </w:tc>
        <w:tc>
          <w:tcPr>
            <w:tcW w:type="dxa" w:w="12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Both wrong</w:t>
            </w:r>
          </w:p>
        </w:tc>
        <w:tc>
          <w:tcPr>
            <w:tcW w:type="dxa" w:w="13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McNemar p</w:t>
            </w:r>
          </w:p>
        </w:tc>
        <w:tc>
          <w:tcPr>
            <w:tcW w:type="dxa" w:w="1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 p</w:t>
            </w:r>
          </w:p>
        </w:tc>
        <w:tc>
          <w:tcPr>
            <w:tcW w:type="dxa" w:w="6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 M2 vs Student M1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20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572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99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1285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Base M2 vs Teacher M1</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27</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514</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92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1343</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 M1 vs Student M1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50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246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425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1255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Base M1 vs Teacher M1</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67</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198</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408</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1303</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M1 vs Teacher M1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169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502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1201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0.0018</w:t>
            </w:r>
          </w:p>
        </w:tc>
        <w:tc>
          <w:tcPr>
            <w:tcW w:type="dxa" w:w="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M3 vs Teacher M3</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194</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172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303</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1307</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0.272</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0.35</w:t>
            </w:r>
          </w:p>
        </w:tc>
        <w:tc>
          <w:tcPr>
            <w:tcW w:type="dxa" w:w="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ns</w:t>
            </w:r>
          </w:p>
        </w:tc>
      </w:tr>
    </w:tbl>
    <w:p>
      <w:pPr>
        <w:spacing w:before="40" w:after="40"/>
      </w:pPr>
    </w:p>
    <w:p>
      <w:pPr>
        <w:spacing w:before="60" w:after="100"/>
      </w:pPr>
      <w:r>
        <w:rPr>
          <w:rFonts w:ascii="Arial" w:cs="Arial" w:eastAsia="Arial" w:hAnsi="Arial"/>
          <w:color w:val="555555"/>
          <w:sz w:val="22"/>
          <w:szCs w:val="22"/>
        </w:rPr>
        <w:t xml:space="preserve">The Student M1 &gt; Teacher M1 advantage disappears under M3 (ns). This means the student's M1 lead comes from mentioning correct diseases in the reasoning chain before the GT slot overrides the final answer — not from superior final-answer quality. The student's think chain surfaces the right answer in transit, then the contaminated GT slot overrides it. This is CoT-D partially working but being disrupted.</w:t>
      </w:r>
    </w:p>
    <w:p>
      <w:pPr>
        <w:pStyle w:val="Heading2"/>
        <w:spacing w:before="280" w:after="120"/>
      </w:pPr>
      <w:r>
        <w:rPr>
          <w:rFonts w:ascii="Arial" w:cs="Arial" w:eastAsia="Arial" w:hAnsi="Arial"/>
          <w:b/>
          <w:bCs/>
          <w:color w:val="1A6B5E"/>
          <w:sz w:val="28"/>
          <w:szCs w:val="28"/>
        </w:rPr>
        <w:t xml:space="preserve">4.4 Three-Way Outcome Decomposition</w:t>
      </w:r>
    </w:p>
    <w:p>
      <w:pPr>
        <w:spacing w:before="60" w:after="100"/>
      </w:pPr>
      <w:r>
        <w:rPr>
          <w:rFonts w:ascii="Arial" w:cs="Arial" w:eastAsia="Arial" w:hAnsi="Arial"/>
          <w:color w:val="555555"/>
          <w:sz w:val="22"/>
          <w:szCs w:val="22"/>
        </w:rPr>
        <w:t xml:space="preserve">With all three models on the same cases, all 2^3 = 8 outcome cells are meaningful. This is the central quantitative evidence for the KD component of the hypothesis.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100"/>
        <w:gridCol w:w="6160"/>
      </w:tblGrid>
      <w:tr>
        <w:trPr>
          <w:tblHeader/>
        </w:trPr>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Cell</w:t>
            </w:r>
          </w:p>
        </w:tc>
        <w:tc>
          <w:tcPr>
            <w:tcW w:type="dxa" w:w="7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1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Fraction</w:t>
            </w:r>
          </w:p>
        </w:tc>
        <w:tc>
          <w:tcPr>
            <w:tcW w:type="dxa" w:w="61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BST — All three correct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379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19.2%</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Shared knowledge floor — base pretraining sufficient</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_ST — Student+Teacher, base wrong</w:t>
            </w:r>
          </w:p>
        </w:tc>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123</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6.2%</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 Primary KD signal: both distilled models learned beyond base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_S_ — Student only correct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123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6.2%</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SFT-specific gain (25 GT-assisted, remainder genuine)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__T — Teacher only correct</w:t>
            </w:r>
          </w:p>
        </w:tc>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75</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3.8%</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Teacher CoT quality advantage — uncontaminated reasoning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BS_ — Base+Student, teacher wrong</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46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2.3%</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Surface-matching shared; teacher over-reasoned to wrong subtype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B_T — Base+Teacher, student wrong</w:t>
            </w:r>
          </w:p>
        </w:tc>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29</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1.5%</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Student GT-poisoned on cases base gets via label-echo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B__ — Base only correct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21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Near-entirely M1 label-leaks (base echoed, both distilled models wrong)</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___ — All three wrong</w:t>
            </w:r>
          </w:p>
        </w:tc>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1180</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59.7%</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Irreducible benchmark difficulty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E" w:sz="12"/>
              <w:left w:val="single" w:color="1A6B5E" w:sz="12"/>
              <w:bottom w:val="single" w:color="1A6B5E" w:sz="4"/>
              <w:right w:val="single" w:color="1A6B5E" w:sz="4"/>
            </w:tcBorders>
            <w:shd w:fill="EAF6F3" w:val="clear"/>
            <w:tcMar>
              <w:top w:type="dxa" w:w="120"/>
              <w:left w:type="dxa" w:w="180"/>
              <w:bottom w:type="dxa" w:w="120"/>
              <w:right w:type="dxa" w:w="180"/>
            </w:tcMar>
          </w:tcPr>
          <w:p>
            <w:pPr>
              <w:spacing w:before="40" w:after="40"/>
            </w:pPr>
            <w:r>
              <w:rPr>
                <w:rFonts w:ascii="Arial" w:cs="Arial" w:eastAsia="Arial" w:hAnsi="Arial"/>
                <w:b w:val="false"/>
                <w:bCs w:val="false"/>
                <w:color w:val="1B3A4B"/>
                <w:sz w:val="20"/>
                <w:szCs w:val="20"/>
              </w:rPr>
              <w:t xml:space="preserve">KD EVIDENCE: The _ST cell (6.2%) cannot be explained by base pretraining.</w:t>
            </w:r>
          </w:p>
          <w:p>
            <w:pPr>
              <w:spacing w:before="40" w:after="40"/>
            </w:pPr>
            <w:r>
              <w:rPr>
                <w:rFonts w:ascii="Arial" w:cs="Arial" w:eastAsia="Arial" w:hAnsi="Arial"/>
                <w:b w:val="false"/>
                <w:bCs w:val="false"/>
                <w:color w:val="1B3A4B"/>
                <w:sz w:val="20"/>
                <w:szCs w:val="20"/>
              </w:rPr>
              <w:t xml:space="preserve">Both distilled models succeed; base fails. The only mechanism is knowledge</w:t>
            </w:r>
          </w:p>
          <w:p>
            <w:pPr>
              <w:spacing w:before="40" w:after="40"/>
            </w:pPr>
            <w:r>
              <w:rPr>
                <w:rFonts w:ascii="Arial" w:cs="Arial" w:eastAsia="Arial" w:hAnsi="Arial"/>
                <w:b w:val="false"/>
                <w:bCs w:val="false"/>
                <w:color w:val="1B3A4B"/>
                <w:sz w:val="20"/>
                <w:szCs w:val="20"/>
              </w:rPr>
              <w:t xml:space="preserve">acquired through the SFT training traces. GT contamination rate in the _ST</w:t>
            </w:r>
          </w:p>
          <w:p>
            <w:pPr>
              <w:spacing w:before="40" w:after="40"/>
            </w:pPr>
            <w:r>
              <w:rPr>
                <w:rFonts w:ascii="Arial" w:cs="Arial" w:eastAsia="Arial" w:hAnsi="Arial"/>
                <w:b w:val="false"/>
                <w:bCs w:val="false"/>
                <w:color w:val="1B3A4B"/>
                <w:sz w:val="20"/>
                <w:szCs w:val="20"/>
              </w:rPr>
              <w:t xml:space="preserve">cell is lower than in the _S_ cell, confirming these are genuine transfers.</w:t>
            </w:r>
          </w:p>
          <w:p>
            <w:pPr>
              <w:spacing w:before="40" w:after="40"/>
            </w:pPr>
            <w:r>
              <w:rPr>
                <w:rFonts w:ascii="Arial" w:cs="Arial" w:eastAsia="Arial" w:hAnsi="Arial"/>
                <w:b w:val="false"/>
                <w:bCs w:val="false"/>
                <w:color w:val="1B3A4B"/>
                <w:sz w:val="20"/>
                <w:szCs w:val="20"/>
              </w:rPr>
              <w:t xml:space="preserve"/>
            </w:r>
          </w:p>
          <w:p>
            <w:pPr>
              <w:spacing w:before="40" w:after="40"/>
            </w:pPr>
            <w:r>
              <w:rPr>
                <w:rFonts w:ascii="Arial" w:cs="Arial" w:eastAsia="Arial" w:hAnsi="Arial"/>
                <w:b w:val="false"/>
                <w:bCs w:val="false"/>
                <w:color w:val="1B3A4B"/>
                <w:sz w:val="20"/>
                <w:szCs w:val="20"/>
              </w:rPr>
              <w:t xml:space="preserve">KD MAGNITUDE: P(student correct | base wrong) = 0.164</w:t>
            </w:r>
          </w:p>
          <w:p>
            <w:pPr>
              <w:spacing w:before="40" w:after="40"/>
            </w:pPr>
            <w:r>
              <w:rPr>
                <w:rFonts w:ascii="Arial" w:cs="Arial" w:eastAsia="Arial" w:hAnsi="Arial"/>
                <w:b w:val="false"/>
                <w:bCs w:val="false"/>
                <w:color w:val="1B3A4B"/>
                <w:sz w:val="20"/>
                <w:szCs w:val="20"/>
              </w:rPr>
              <w:t xml:space="preserve">  → On 1,501 cases where base fails, student gets 16.4% right</w:t>
            </w:r>
          </w:p>
          <w:p>
            <w:pPr>
              <w:spacing w:before="40" w:after="40"/>
            </w:pPr>
            <w:r>
              <w:rPr>
                <w:rFonts w:ascii="Arial" w:cs="Arial" w:eastAsia="Arial" w:hAnsi="Arial"/>
                <w:b w:val="false"/>
                <w:bCs w:val="false"/>
                <w:color w:val="1B3A4B"/>
                <w:sz w:val="20"/>
                <w:szCs w:val="20"/>
              </w:rPr>
              <w:t xml:space="preserve">KD RETENTION: P(student correct | base correct) = 0.895</w:t>
            </w:r>
          </w:p>
          <w:p>
            <w:pPr>
              <w:spacing w:before="40" w:after="40"/>
            </w:pPr>
            <w:r>
              <w:rPr>
                <w:rFonts w:ascii="Arial" w:cs="Arial" w:eastAsia="Arial" w:hAnsi="Arial"/>
                <w:b w:val="false"/>
                <w:bCs w:val="false"/>
                <w:color w:val="1B3A4B"/>
                <w:sz w:val="20"/>
                <w:szCs w:val="20"/>
              </w:rPr>
              <w:t xml:space="preserve">  → 89.5% of base knowledge was preserved through fine-tuning</w:t>
            </w:r>
          </w:p>
        </w:tc>
      </w:tr>
    </w:tbl>
    <w:p>
      <w:pPr>
        <w:spacing w:before="40" w:after="40"/>
      </w:pPr>
    </w:p>
    <w:p>
      <w:pPr>
        <w:pStyle w:val="Heading2"/>
        <w:spacing w:before="280" w:after="120"/>
      </w:pPr>
      <w:r>
        <w:rPr>
          <w:rFonts w:ascii="Arial" w:cs="Arial" w:eastAsia="Arial" w:hAnsi="Arial"/>
          <w:b/>
          <w:bCs/>
          <w:color w:val="1A6B5E"/>
          <w:sz w:val="28"/>
          <w:szCs w:val="28"/>
        </w:rPr>
        <w:t xml:space="preserve">4.5 CoT Distillation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80"/>
        <w:gridCol w:w="1880"/>
      </w:tblGrid>
      <w:tr>
        <w:trPr>
          <w:tblHeader/>
        </w:trPr>
        <w:tc>
          <w:tcPr>
            <w:tcW w:type="dxa" w:w="38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w:t>
            </w:r>
          </w:p>
        </w:tc>
        <w:tc>
          <w:tcPr>
            <w:tcW w:type="dxa" w:w="18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w:t>
            </w:r>
          </w:p>
        </w:tc>
        <w:tc>
          <w:tcPr>
            <w:tcW w:type="dxa" w:w="18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Uses &lt;/think&gt; block (fraction)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0.000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0.935</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0.862</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Uses &lt;diagnosis&gt; tag (fraction)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0.000</w:t>
            </w:r>
          </w:p>
        </w:tc>
        <w:tc>
          <w:tcPr>
            <w:tcW w:type="dxa" w:w="1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0.932</w:t>
            </w:r>
          </w:p>
        </w:tc>
        <w:tc>
          <w:tcPr>
            <w:tcW w:type="dxa" w:w="1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0.825</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Mean response length (chars)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1,583</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3,756</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3,164</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Accuracy when &lt;/think&gt; present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N/A</w:t>
            </w:r>
          </w:p>
        </w:tc>
        <w:tc>
          <w:tcPr>
            <w:tcW w:type="dxa" w:w="1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0.342</w:t>
            </w:r>
          </w:p>
        </w:tc>
        <w:tc>
          <w:tcPr>
            <w:tcW w:type="dxa" w:w="1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0.321</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Accuracy when &lt;/think&gt; absent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N/A</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0.310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0.220</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Accuracy gap (think vs no-think)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N/A</w:t>
            </w:r>
          </w:p>
        </w:tc>
        <w:tc>
          <w:tcPr>
            <w:tcW w:type="dxa" w:w="1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+0.032</w:t>
            </w:r>
          </w:p>
        </w:tc>
        <w:tc>
          <w:tcPr>
            <w:tcW w:type="dxa" w:w="1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+0.101</w:t>
            </w:r>
          </w:p>
        </w:tc>
      </w:tr>
    </w:tbl>
    <w:p>
      <w:pPr>
        <w:spacing w:before="40" w:after="40"/>
      </w:pPr>
    </w:p>
    <w:p>
      <w:pPr>
        <w:spacing w:before="60" w:after="100"/>
      </w:pPr>
      <w:r>
        <w:rPr>
          <w:rFonts w:ascii="Arial" w:cs="Arial" w:eastAsia="Arial" w:hAnsi="Arial"/>
          <w:color w:val="555555"/>
          <w:sz w:val="22"/>
          <w:szCs w:val="22"/>
        </w:rPr>
        <w:t xml:space="preserve">The teacher's large gap (+0.101) reflects autonomous decision-making — it produces a think block on cases where it engages deliberative reasoning, which correlates with getting them right. The student's smaller gap (+0.032) reflects training compliance — it was trained to always produce a think block, so the correlation is diluted. Both gaps are positive, supporting CoT-D.</w:t>
      </w:r>
    </w:p>
    <w:p>
      <w:pPr>
        <w:spacing w:before="60" w:after="100"/>
      </w:pPr>
      <w:r>
        <w:rPr>
          <w:rFonts w:ascii="Arial" w:cs="Arial" w:eastAsia="Arial" w:hAnsi="Arial"/>
          <w:color w:val="555555"/>
          <w:sz w:val="22"/>
          <w:szCs w:val="22"/>
        </w:rPr>
        <w:t xml:space="preserve">On base-wrong cases specifically: teacher with think=0.133, without think=0.126 (Δ=+0.007). Structured reasoning adds value even on the hardest cases. This is the CoT-D floor contribution.</w:t>
      </w:r>
    </w:p>
    <w:p>
      <w:pPr>
        <w:pStyle w:val="Heading2"/>
        <w:spacing w:before="280" w:after="120"/>
      </w:pPr>
      <w:r>
        <w:rPr>
          <w:rFonts w:ascii="Arial" w:cs="Arial" w:eastAsia="Arial" w:hAnsi="Arial"/>
          <w:b/>
          <w:bCs/>
          <w:color w:val="1A6B5E"/>
          <w:sz w:val="28"/>
          <w:szCs w:val="28"/>
        </w:rPr>
        <w:t xml:space="preserve">4.6 M1 vs M3 — The CoT Distillation Signature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050"/>
        <w:gridCol w:w="1400"/>
        <w:gridCol w:w="1400"/>
        <w:gridCol w:w="1050"/>
      </w:tblGrid>
      <w:tr>
        <w:trPr>
          <w:tblHeader/>
        </w:trPr>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M1</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M3</w:t>
            </w:r>
          </w:p>
        </w:tc>
        <w:tc>
          <w:tcPr>
            <w:tcW w:type="dxa" w:w="105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M1</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M3</w:t>
            </w:r>
          </w:p>
        </w:tc>
        <w:tc>
          <w:tcPr>
            <w:tcW w:type="dxa" w:w="105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Accuracy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0.340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0.252</w:t>
            </w:r>
          </w:p>
        </w:tc>
        <w:tc>
          <w:tcPr>
            <w:tcW w:type="dxa" w:w="10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−0.088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0.240</w:t>
            </w:r>
          </w:p>
        </w:tc>
        <w:tc>
          <w:tcPr>
            <w:tcW w:type="dxa" w:w="10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−0.067</w:t>
            </w:r>
          </w:p>
        </w:tc>
      </w:tr>
    </w:tbl>
    <w:p>
      <w:pPr>
        <w:spacing w:before="40" w:after="40"/>
      </w:pPr>
    </w:p>
    <w:p>
      <w:pPr>
        <w:spacing w:before="60" w:after="100"/>
      </w:pPr>
      <w:r>
        <w:rPr>
          <w:rFonts w:ascii="Arial" w:cs="Arial" w:eastAsia="Arial" w:hAnsi="Arial"/>
          <w:color w:val="555555"/>
          <w:sz w:val="22"/>
          <w:szCs w:val="22"/>
        </w:rPr>
        <w:t xml:space="preserve">Both models lose accuracy when measured on the &lt;diagnosis&gt; tag alone vs the full response. The 0.088 student gap represents cases where the reasoning chain mentioned the correct disease but the final tag did not — the chain arrived at the right place, then the GT slot overrode it. This gap would not exist if CoT-D had fully succeeded in coupling reasoning chains to correct final answers. It is the CoT-D being disrupted at the last step.</w:t>
      </w:r>
    </w:p>
    <w:p>
      <w:pPr>
        <w:pStyle w:val="Heading2"/>
        <w:spacing w:before="280" w:after="120"/>
      </w:pPr>
      <w:r>
        <w:rPr>
          <w:rFonts w:ascii="Arial" w:cs="Arial" w:eastAsia="Arial" w:hAnsi="Arial"/>
          <w:b/>
          <w:bCs/>
          <w:color w:val="1A6B5E"/>
          <w:sz w:val="28"/>
          <w:szCs w:val="28"/>
        </w:rPr>
        <w:t xml:space="preserve">4.7 Training Frequency Analysis</w:t>
      </w:r>
    </w:p>
    <w:p>
      <w:pPr>
        <w:spacing w:before="60" w:after="100"/>
      </w:pPr>
      <w:r>
        <w:rPr>
          <w:rFonts w:ascii="Arial" w:cs="Arial" w:eastAsia="Arial" w:hAnsi="Arial"/>
          <w:color w:val="555555"/>
          <w:sz w:val="22"/>
          <w:szCs w:val="22"/>
        </w:rPr>
        <w:t xml:space="preserve">All 247 evaluation diseases matched to base.csv. Frequency range 10–416, median 55.</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760"/>
        <w:gridCol w:w="1800"/>
      </w:tblGrid>
      <w:tr>
        <w:trPr>
          <w:tblHeader/>
        </w:trPr>
        <w:tc>
          <w:tcPr>
            <w:tcW w:type="dxa" w:w="3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c>
          <w:tcPr>
            <w:tcW w:type="dxa" w:w="28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Statistic</w:t>
            </w:r>
          </w:p>
        </w:tc>
        <w:tc>
          <w:tcPr>
            <w:tcW w:type="dxa" w:w="17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8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OLS: log(1+freq) → S−B delta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slope=0.034, r=0.153, r²=0.023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OLS: log(1+freq) → T−B delta</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slope=0.003, r=0.015, r²=0.000</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0.815</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Spearman ρ: freq vs S−B delta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ρ = 0.170</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0.008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Spearman ρ: freq vs T−B delta</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ρ = 0.041</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0.522</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Spearman ρ: freq vs student M1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ρ = 0.251</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Spearman ρ: freq vs teacher M1</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ρ = 0.157</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0.013</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bl>
    <w:p>
      <w:pPr>
        <w:spacing w:before="40" w:after="4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1380"/>
        <w:gridCol w:w="1380"/>
        <w:gridCol w:w="1000"/>
        <w:gridCol w:w="1000"/>
        <w:gridCol w:w="1000"/>
      </w:tblGrid>
      <w:tr>
        <w:trPr>
          <w:tblHeader/>
        </w:trPr>
        <w:tc>
          <w:tcPr>
            <w:tcW w:type="dxa" w:w="1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 Quartile</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 Median</w:t>
            </w:r>
          </w:p>
        </w:tc>
        <w:tc>
          <w:tcPr>
            <w:tcW w:type="dxa" w:w="13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M1</w:t>
            </w:r>
          </w:p>
        </w:tc>
        <w:tc>
          <w:tcPr>
            <w:tcW w:type="dxa" w:w="13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M1</w:t>
            </w:r>
          </w:p>
        </w:tc>
        <w:tc>
          <w:tcPr>
            <w:tcW w:type="dxa" w:w="13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M1</w:t>
            </w:r>
          </w:p>
        </w:tc>
        <w:tc>
          <w:tcPr>
            <w:tcW w:type="dxa" w:w="1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S−B</w:t>
            </w:r>
          </w:p>
        </w:tc>
        <w:tc>
          <w:tcPr>
            <w:tcW w:type="dxa" w:w="1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T−B</w:t>
            </w:r>
          </w:p>
        </w:tc>
        <w:tc>
          <w:tcPr>
            <w:tcW w:type="dxa" w:w="1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Q1 (low)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24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0.165</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0.216</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0.218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+0.050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+0.052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−0.002</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Q2</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46</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0.226</w:t>
            </w:r>
          </w:p>
        </w:tc>
        <w:tc>
          <w:tcPr>
            <w:tcW w:type="dxa" w:w="1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0.337</w:t>
            </w:r>
          </w:p>
        </w:tc>
        <w:tc>
          <w:tcPr>
            <w:tcW w:type="dxa" w:w="1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0.300</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+0.111</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+0.075</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+0.036</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70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0.244</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0.345</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0.327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+0.083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+0.018</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Q4 (high)</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147</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0.328</w:t>
            </w:r>
          </w:p>
        </w:tc>
        <w:tc>
          <w:tcPr>
            <w:tcW w:type="dxa" w:w="1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0.463</w:t>
            </w:r>
          </w:p>
        </w:tc>
        <w:tc>
          <w:tcPr>
            <w:tcW w:type="dxa" w:w="1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0.383</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+0.135</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+0.055</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+0.080</w:t>
            </w:r>
          </w:p>
        </w:tc>
      </w:tr>
    </w:tbl>
    <w:p>
      <w:pPr>
        <w:spacing w:before="40" w:after="40"/>
      </w:pPr>
    </w:p>
    <w:p>
      <w:pPr>
        <w:spacing w:before="60" w:after="100"/>
      </w:pPr>
      <w:r>
        <w:rPr>
          <w:rFonts w:ascii="Arial" w:cs="Arial" w:eastAsia="Arial" w:hAnsi="Arial"/>
          <w:color w:val="555555"/>
          <w:sz w:val="22"/>
          <w:szCs w:val="22"/>
        </w:rPr>
        <w:t xml:space="preserve">The student's gain over base scales with training frequency (significant); the teacher's does not (not significant). This is the key differentiator between KD and pretraining-scale capability: the teacher's knowledge is uniform across the frequency spectrum (it learned these diseases through its own 8B-scale pretraining), while the student's advantage is amplified by how much training signal was available. Q4 diseases see student +0.135 over base vs teacher's +0.055 — the student benefits 2.5× more than the teacher from high-frequency training exposure.</w:t>
      </w:r>
    </w:p>
    <w:p>
      <w:r>
        <w:br w:type="page"/>
      </w:r>
    </w:p>
    <w:p>
      <w:pPr>
        <w:pStyle w:val="Heading1"/>
        <w:spacing w:before="360" w:after="160"/>
      </w:pPr>
      <w:r>
        <w:rPr>
          <w:rFonts w:ascii="Arial" w:cs="Arial" w:eastAsia="Arial" w:hAnsi="Arial"/>
          <w:b/>
          <w:bCs/>
          <w:color w:val="1B3A4B"/>
          <w:sz w:val="36"/>
          <w:szCs w:val="36"/>
        </w:rPr>
        <w:t xml:space="preserve">5. Qualitative Analysis</w:t>
      </w:r>
    </w:p>
    <w:p>
      <w:pPr>
        <w:pStyle w:val="Heading2"/>
        <w:spacing w:before="280" w:after="120"/>
      </w:pPr>
      <w:r>
        <w:rPr>
          <w:rFonts w:ascii="Arial" w:cs="Arial" w:eastAsia="Arial" w:hAnsi="Arial"/>
          <w:b/>
          <w:bCs/>
          <w:color w:val="1A6B5E"/>
          <w:sz w:val="28"/>
          <w:szCs w:val="28"/>
        </w:rPr>
        <w:t xml:space="preserve">5.1 SFT Limitation #1 — GT-Label Contamination</w:t>
      </w:r>
    </w:p>
    <w:p>
      <w:pPr>
        <w:pStyle w:val="Heading3"/>
        <w:spacing w:before="200" w:after="80"/>
      </w:pPr>
      <w:r>
        <w:rPr>
          <w:rFonts w:ascii="Arial" w:cs="Arial" w:eastAsia="Arial" w:hAnsi="Arial"/>
          <w:b/>
          <w:bCs/>
          <w:color w:val="2E5F8A"/>
          <w:sz w:val="24"/>
          <w:szCs w:val="24"/>
        </w:rPr>
        <w:t xml:space="preserve">Mechanism</w:t>
      </w:r>
    </w:p>
    <w:p>
      <w:pPr>
        <w:spacing w:before="60" w:after="100"/>
      </w:pPr>
      <w:r>
        <w:rPr>
          <w:rFonts w:ascii="Arial" w:cs="Arial" w:eastAsia="Arial" w:hAnsi="Arial"/>
          <w:color w:val="555555"/>
          <w:sz w:val="22"/>
          <w:szCs w:val="22"/>
        </w:rPr>
        <w:t xml:space="preserve">During trace generation, DeepSeek-R1-Distill-Llama-8B was prompted with case texts that included the gold label visible in the input. Its R1-inherited reasoning style — which is explicitly transparent about what information the model is using — led it to write 'ground truth is X' in the think chain. The student, trained with QLoRA alpha-128 on these traces, learned this as a feature of how medical diagnosis reasoning works. At inference, the 'ground truth is X' slot is filled with an arbitrary wrong disease from the batch context, not the correct answer.</w:t>
      </w:r>
    </w:p>
    <w:p>
      <w:pPr>
        <w:spacing w:before="60" w:after="100"/>
      </w:pPr>
      <w:r>
        <w:rPr>
          <w:rFonts w:ascii="Arial" w:cs="Arial" w:eastAsia="Arial" w:hAnsi="Arial"/>
          <w:color w:val="555555"/>
          <w:sz w:val="22"/>
          <w:szCs w:val="22"/>
        </w:rPr>
        <w:t xml:space="preserve">This is a distortion of KD, not a failure of it. The student successfully absorbed the teacher's reasoning format — including a slot that is poisonous at inference time. The contamination is a foreseeable consequence of combining R1-style transparent reasoning with label-visible prompting during trace generation, amplified by aggressive LoRA scaling.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80"/>
        <w:gridCol w:w="3880"/>
      </w:tblGrid>
      <w:tr>
        <w:trPr>
          <w:tblHeader/>
        </w:trPr>
        <w:tc>
          <w:tcPr>
            <w:tcW w:type="dxa" w:w="38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w:t>
            </w:r>
          </w:p>
        </w:tc>
        <w:tc>
          <w:tcPr>
            <w:tcW w:type="dxa" w:w="16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w:t>
            </w:r>
          </w:p>
        </w:tc>
        <w:tc>
          <w:tcPr>
            <w:tcW w:type="dxa" w:w="38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GT string found in student think chain</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0.297</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[0.277, 0.317]</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Of those, GT is the wrong label</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0.840</w:t>
            </w:r>
          </w:p>
        </w:tc>
        <w:tc>
          <w:tcPr>
            <w:tcW w:type="dxa" w:w="3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[0.807, 0.869]</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follows the wrong GT label</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0.691</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[0.650, 0.732]</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Student accuracy when GT-wrong present</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0.175</w:t>
            </w:r>
          </w:p>
        </w:tc>
        <w:tc>
          <w:tcPr>
            <w:tcW w:type="dxa" w:w="3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[0.142, 0.209]</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accuracy when no GT present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0.363</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[0.338, 0.388]</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Teacher GT mentions</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0.000</w:t>
            </w:r>
          </w:p>
        </w:tc>
        <w:tc>
          <w:tcPr>
            <w:tcW w:type="dxa" w:w="3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N/A</w:t>
            </w:r>
          </w:p>
        </w:tc>
      </w:tr>
    </w:tbl>
    <w:p>
      <w:pPr>
        <w:spacing w:before="40" w:after="40"/>
      </w:pPr>
    </w:p>
    <w:p>
      <w:pPr>
        <w:spacing w:before="60" w:after="100"/>
      </w:pPr>
      <w:r>
        <w:rPr>
          <w:rFonts w:ascii="Arial" w:cs="Arial" w:eastAsia="Arial" w:hAnsi="Arial"/>
          <w:color w:val="555555"/>
          <w:sz w:val="22"/>
          <w:szCs w:val="22"/>
        </w:rPr>
        <w:t xml:space="preserve">Mann-Whitney test (GT-wrong accuracy &lt; no-GT accuracy): p = 6.1 × 10⁻¹⁵ ***</w:t>
      </w:r>
    </w:p>
    <w:p>
      <w:pPr>
        <w:spacing w:before="60" w:after="100"/>
      </w:pPr>
      <w:r>
        <w:rPr>
          <w:rFonts w:ascii="Arial" w:cs="Arial" w:eastAsia="Arial" w:hAnsi="Arial"/>
          <w:color w:val="555555"/>
          <w:sz w:val="22"/>
          <w:szCs w:val="22"/>
        </w:rPr>
        <w:t xml:space="preserve">The teacher has zero GT mentions because it was not fine-tuned on contaminated traces. Its DeepSeek pretraining embedded medical knowledge without this slot.</w:t>
      </w:r>
    </w:p>
    <w:p>
      <w:pPr>
        <w:pStyle w:val="Heading3"/>
        <w:spacing w:before="200" w:after="80"/>
      </w:pPr>
      <w:r>
        <w:rPr>
          <w:rFonts w:ascii="Arial" w:cs="Arial" w:eastAsia="Arial" w:hAnsi="Arial"/>
          <w:b/>
          <w:bCs/>
          <w:color w:val="2E5F8A"/>
          <w:sz w:val="24"/>
          <w:szCs w:val="24"/>
        </w:rPr>
        <w:t xml:space="preserve">Counterfactual Results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200"/>
        <w:gridCol w:w="2200"/>
        <w:gridCol w:w="1560"/>
      </w:tblGrid>
      <w:tr>
        <w:trPr>
          <w:tblHeader/>
        </w:trPr>
        <w:tc>
          <w:tcPr>
            <w:tcW w:type="dxa" w:w="2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Acc</w:t>
            </w:r>
          </w:p>
        </w:tc>
        <w:tc>
          <w:tcPr>
            <w:tcW w:type="dxa" w:w="1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Acc</w:t>
            </w:r>
          </w:p>
        </w:tc>
        <w:tc>
          <w:tcPr>
            <w:tcW w:type="dxa" w:w="12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22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 (gap)</w:t>
            </w:r>
          </w:p>
        </w:tc>
        <w:tc>
          <w:tcPr>
            <w:tcW w:type="dxa" w:w="15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Observed (M1)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0.340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0.307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 (perm)</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CF1: GT-wrong → no-GT accuracy</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0.386</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0.307</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+0.080</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[+0.059, +0.101]</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CF2: Restore pre-GT reasoning (77 cases)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0.418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0.307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+0.111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&lt;0.001</w:t>
            </w:r>
          </w:p>
        </w:tc>
      </w:tr>
    </w:tbl>
    <w:p>
      <w:pPr>
        <w:spacing w:before="40" w:after="40"/>
      </w:pPr>
    </w:p>
    <w:p>
      <w:pPr>
        <w:spacing w:before="60" w:after="100"/>
      </w:pPr>
      <w:r>
        <w:rPr>
          <w:rFonts w:ascii="Arial" w:cs="Arial" w:eastAsia="Arial" w:hAnsi="Arial"/>
          <w:color w:val="555555"/>
          <w:sz w:val="22"/>
          <w:szCs w:val="22"/>
        </w:rPr>
        <w:t xml:space="preserve">Under CF1, the 1.5B student corrected accuracy (0.386) exceeds the 8B teacher (0.307) by 8 percentage points. Per parameter: student achieves 0.257 accuracy points per billion parameters vs teacher's 0.038 — roughly 6.7× parameter efficiency on this task.</w:t>
      </w:r>
    </w:p>
    <w:p>
      <w:pPr>
        <w:pStyle w:val="Heading2"/>
        <w:spacing w:before="280" w:after="120"/>
      </w:pPr>
      <w:r>
        <w:rPr>
          <w:rFonts w:ascii="Arial" w:cs="Arial" w:eastAsia="Arial" w:hAnsi="Arial"/>
          <w:b/>
          <w:bCs/>
          <w:color w:val="1A6B5E"/>
          <w:sz w:val="28"/>
          <w:szCs w:val="28"/>
        </w:rPr>
        <w:t xml:space="preserve">5.2 SFT Limitation #2 — Self-Revision Without Reward Signal</w:t>
      </w:r>
    </w:p>
    <w:p>
      <w:pPr>
        <w:spacing w:before="60" w:after="100"/>
      </w:pPr>
      <w:r>
        <w:rPr>
          <w:rFonts w:ascii="Arial" w:cs="Arial" w:eastAsia="Arial" w:hAnsi="Arial"/>
          <w:color w:val="555555"/>
          <w:sz w:val="22"/>
          <w:szCs w:val="22"/>
        </w:rPr>
        <w:t xml:space="preserve">Detection: 'True disease mentioned in think chain' = normalised disease name found anywhere in normalised think chain. 'Revised away' = mentioned but M1 final answer still wrong. Note: M1 scores the full response, so if disease is in the think chain it usually fires M1-correct regardless. Revised-away is a strict lower bound.</w:t>
      </w:r>
    </w:p>
    <w:p>
      <w:pPr>
        <w:spacing w:before="40"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gridCol w:w="500"/>
      </w:tblGrid>
      <w:tr>
        <w:trPr>
          <w:tblHeader/>
        </w:trPr>
        <w:tc>
          <w:tcPr>
            <w:tcW w:type="dxa" w:w="3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w:t>
            </w:r>
          </w:p>
        </w:tc>
        <w:tc>
          <w:tcPr>
            <w:tcW w:type="dxa" w:w="2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w:t>
            </w:r>
          </w:p>
        </w:tc>
        <w:tc>
          <w:tcPr>
            <w:tcW w:type="dxa" w:w="2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w:t>
            </w:r>
          </w:p>
        </w:tc>
        <w:tc>
          <w:tcPr>
            <w:tcW w:type="dxa" w:w="2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w:t>
            </w:r>
          </w:p>
        </w:tc>
        <w:tc>
          <w:tcPr>
            <w:tcW w:type="dxa" w:w="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True disease mentioned in think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0.283 (560/1976)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0.249 (493/1976)</w:t>
            </w:r>
          </w:p>
        </w:tc>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Revised away (given mentioned)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0.005 [3/560]</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[0.000, 0.013]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0.016 [8/493]</w:t>
            </w:r>
          </w:p>
        </w:tc>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[0.006, 0.028]</w:t>
            </w:r>
          </w:p>
        </w:tc>
      </w:tr>
    </w:tbl>
    <w:p>
      <w:pPr>
        <w:spacing w:before="40" w:after="40"/>
      </w:pPr>
    </w:p>
    <w:p>
      <w:pPr>
        <w:spacing w:before="60" w:after="100"/>
      </w:pPr>
      <w:r>
        <w:rPr>
          <w:rFonts w:ascii="Arial" w:cs="Arial" w:eastAsia="Arial" w:hAnsi="Arial"/>
          <w:color w:val="555555"/>
          <w:sz w:val="22"/>
          <w:szCs w:val="22"/>
        </w:rPr>
        <w:t xml:space="preserve">The primary evidence for this limitation is not the revised-away rate (which is low because M1 credits full-response mentions) but the self-correction count conditioned on correctness: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1740"/>
        <w:gridCol w:w="1740"/>
        <w:gridCol w:w="1740"/>
        <w:gridCol w:w="1740"/>
      </w:tblGrid>
      <w:tr>
        <w:trPr>
          <w:tblHeader/>
        </w:trPr>
        <w:tc>
          <w:tcPr>
            <w:tcW w:type="dxa" w:w="3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74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correct</w:t>
            </w:r>
          </w:p>
        </w:tc>
        <w:tc>
          <w:tcPr>
            <w:tcW w:type="dxa" w:w="174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wrong</w:t>
            </w:r>
          </w:p>
        </w:tc>
        <w:tc>
          <w:tcPr>
            <w:tcW w:type="dxa" w:w="174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correct</w:t>
            </w:r>
          </w:p>
        </w:tc>
        <w:tc>
          <w:tcPr>
            <w:tcW w:type="dxa" w:w="174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wrong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Self-correction count (mean)</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0.459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0.513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0.161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0.184</w:t>
            </w:r>
          </w:p>
        </w:tc>
      </w:tr>
    </w:tbl>
    <w:p>
      <w:pPr>
        <w:spacing w:before="40" w:after="40"/>
      </w:pPr>
    </w:p>
    <w:p>
      <w:pPr>
        <w:spacing w:before="60" w:after="100"/>
      </w:pPr>
      <w:r>
        <w:rPr>
          <w:rFonts w:ascii="Arial" w:cs="Arial" w:eastAsia="Arial" w:hAnsi="Arial"/>
          <w:color w:val="555555"/>
          <w:sz w:val="22"/>
          <w:szCs w:val="22"/>
        </w:rPr>
        <w:t xml:space="preserve">Student self-correction count is higher on wrong cases than correct cases (+0.054). For the teacher, the difference is small (+0.023) and reversed in direction. Student hedging phrases are noise — triggered by the GT slot, not genuine reconsideration. CoT format was distilled; CoT calibration was not.</w:t>
      </w:r>
    </w:p>
    <w:p>
      <w:pPr>
        <w:pStyle w:val="Heading2"/>
        <w:spacing w:before="280" w:after="120"/>
      </w:pPr>
      <w:r>
        <w:rPr>
          <w:rFonts w:ascii="Arial" w:cs="Arial" w:eastAsia="Arial" w:hAnsi="Arial"/>
          <w:b/>
          <w:bCs/>
          <w:color w:val="1A6B5E"/>
          <w:sz w:val="28"/>
          <w:szCs w:val="28"/>
        </w:rPr>
        <w:t xml:space="preserve">5.3 SFT Limitation #3 — Style Transfer Without Epistemic Grounding</w:t>
      </w:r>
    </w:p>
    <w:p>
      <w:pPr>
        <w:spacing w:before="60" w:after="100"/>
      </w:pPr>
      <w:r>
        <w:rPr>
          <w:rFonts w:ascii="Arial" w:cs="Arial" w:eastAsia="Arial" w:hAnsi="Arial"/>
          <w:color w:val="555555"/>
          <w:sz w:val="22"/>
          <w:szCs w:val="22"/>
        </w:rPr>
        <w:t xml:space="preserve">The student replicates the teacher's response FORMAT (length, structure, hedging language) but diverges in the QUALITY of reasoning content. High alpha-to-rank ratio (2.0) in QLoRA drove output fidelity to the teacher's trace style, including surface patterns, without enforcing semantic validity of self-corrections.</w:t>
      </w:r>
    </w:p>
    <w:p>
      <w:pPr>
        <w:spacing w:before="40" w:after="4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680"/>
        <w:gridCol w:w="1300"/>
      </w:tblGrid>
      <w:tr>
        <w:trPr>
          <w:tblHeader/>
        </w:trPr>
        <w:tc>
          <w:tcPr>
            <w:tcW w:type="dxa" w:w="3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 (on think chain)</w:t>
            </w:r>
          </w:p>
        </w:tc>
        <w:tc>
          <w:tcPr>
            <w:tcW w:type="dxa" w:w="16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mean</w:t>
            </w:r>
          </w:p>
        </w:tc>
        <w:tc>
          <w:tcPr>
            <w:tcW w:type="dxa" w:w="16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mean</w:t>
            </w:r>
          </w:p>
        </w:tc>
        <w:tc>
          <w:tcPr>
            <w:tcW w:type="dxa" w:w="168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Mann-Whitney p</w:t>
            </w:r>
          </w:p>
        </w:tc>
        <w:tc>
          <w:tcPr>
            <w:tcW w:type="dxa" w:w="13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Think chain length (chars)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2,393</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2,810</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p&lt;0.001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Self-correction phrases (count)</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0.176</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0.496</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p&lt;0.001</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Explicit uncertainty (count)</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0.123</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0.099</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Confident assertions (count)</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0.495</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0.263</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p&lt;0.001</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Specific lab/genetic evidence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0.151</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0.135</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DDx diseases named</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0.202</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0.273</w:t>
            </w:r>
          </w:p>
        </w:tc>
        <w:tc>
          <w:tcPr>
            <w:tcW w:type="dxa" w:w="1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p&lt;0.001</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r>
    </w:tbl>
    <w:p>
      <w:pPr>
        <w:spacing w:before="40" w:after="40"/>
      </w:pPr>
    </w:p>
    <w:p>
      <w:pPr>
        <w:spacing w:before="60" w:after="100"/>
      </w:pPr>
      <w:r>
        <w:rPr>
          <w:rFonts w:ascii="Arial" w:cs="Arial" w:eastAsia="Arial" w:hAnsi="Arial"/>
          <w:color w:val="555555"/>
          <w:sz w:val="22"/>
          <w:szCs w:val="22"/>
        </w:rPr>
        <w:t xml:space="preserve">The student uses 2.8× more hedging phrases than the teacher while being 53% less likely to make confident clinical assertions. The teacher's self-corrections correlate with correct outcomes; the student's are counterproductive noise. CoT-D transferred the format of deliberative reasoning, not the calibration of when to use it.</w:t>
      </w:r>
    </w:p>
    <w:p>
      <w:pPr>
        <w:pStyle w:val="Heading2"/>
        <w:spacing w:before="280" w:after="120"/>
      </w:pPr>
      <w:r>
        <w:rPr>
          <w:rFonts w:ascii="Arial" w:cs="Arial" w:eastAsia="Arial" w:hAnsi="Arial"/>
          <w:b/>
          <w:bCs/>
          <w:color w:val="1A6B5E"/>
          <w:sz w:val="28"/>
          <w:szCs w:val="28"/>
        </w:rPr>
        <w:t xml:space="preserve">5.4 Error Taxonomy</w:t>
      </w:r>
    </w:p>
    <w:p>
      <w:pPr>
        <w:spacing w:before="60" w:after="100"/>
      </w:pPr>
      <w:r>
        <w:rPr>
          <w:rFonts w:ascii="Arial" w:cs="Arial" w:eastAsia="Arial" w:hAnsi="Arial"/>
          <w:color w:val="555555"/>
          <w:sz w:val="22"/>
          <w:szCs w:val="22"/>
        </w:rPr>
        <w:t xml:space="preserve">Priority cascade: correct → gt_poisoned (student only) → near_miss (token Jaccard &gt;0.35) → wrong_same_category → wrong_category → unrelated.</w:t>
      </w:r>
    </w:p>
    <w:p>
      <w:pPr>
        <w:spacing w:before="40" w:after="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1300"/>
        <w:gridCol w:w="2200"/>
      </w:tblGrid>
      <w:tr>
        <w:trPr>
          <w:tblHeader/>
        </w:trPr>
        <w:tc>
          <w:tcPr>
            <w:tcW w:type="dxa" w:w="3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Type</w:t>
            </w:r>
          </w:p>
        </w:tc>
        <w:tc>
          <w:tcPr>
            <w:tcW w:type="dxa" w:w="13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Teacher rate</w:t>
            </w:r>
          </w:p>
        </w:tc>
        <w:tc>
          <w:tcPr>
            <w:tcW w:type="dxa" w:w="22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w:t>
            </w:r>
          </w:p>
        </w:tc>
        <w:tc>
          <w:tcPr>
            <w:tcW w:type="dxa" w:w="13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rate</w:t>
            </w:r>
          </w:p>
        </w:tc>
        <w:tc>
          <w:tcPr>
            <w:tcW w:type="dxa" w:w="22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Correct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0.307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[0.286, 0.327]</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0.340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[0.319, 0.361]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Near-miss (right family, wrong specificity)</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0.044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[0.035, 0.053]</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0.033</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[0.025, 0.041]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Wrong disease, same category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0.089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[0.077, 0.102]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0.078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[0.067, 0.090]</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Wrong disease, different category</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0.043</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[0.034, 0.052]</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0.039</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[0.031, 0.048]</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GT-poisoned [student only]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0.000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0.145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[0.130, 0.161]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Unrelated / hallucinated</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0.513</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[0.491, 0.536]</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0.365</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[0.343, 0.387]</w:t>
            </w:r>
          </w:p>
        </w:tc>
      </w:tr>
    </w:tbl>
    <w:p>
      <w:pPr>
        <w:spacing w:before="40" w:after="40"/>
      </w:pPr>
    </w:p>
    <w:p>
      <w:pPr>
        <w:spacing w:before="60" w:after="100"/>
      </w:pPr>
      <w:r>
        <w:rPr>
          <w:rFonts w:ascii="Arial" w:cs="Arial" w:eastAsia="Arial" w:hAnsi="Arial"/>
          <w:color w:val="555555"/>
          <w:sz w:val="22"/>
          <w:szCs w:val="22"/>
        </w:rPr>
        <w:t xml:space="preserve">Stripping the 14.5% GT-poisoned class from the student, the remaining error distribution is nearly identical to the teacher's. The structural difference between the two models traces almost entirely to the training artifact.</w:t>
      </w:r>
    </w:p>
    <w:p>
      <w:pPr>
        <w:pStyle w:val="Heading2"/>
        <w:spacing w:before="280" w:after="120"/>
      </w:pPr>
      <w:r>
        <w:rPr>
          <w:rFonts w:ascii="Arial" w:cs="Arial" w:eastAsia="Arial" w:hAnsi="Arial"/>
          <w:b/>
          <w:bCs/>
          <w:color w:val="1A6B5E"/>
          <w:sz w:val="28"/>
          <w:szCs w:val="28"/>
        </w:rPr>
        <w:t xml:space="preserve">5.5 Three-Way Outcome Qualitative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rPr>
          <w:tblHeader/>
        </w:trPr>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Cell</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GT-wrong rate</w:t>
            </w:r>
          </w:p>
        </w:tc>
        <w:tc>
          <w:tcPr>
            <w:tcW w:type="dxa" w:w="14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Base-leak rate</w:t>
            </w:r>
          </w:p>
        </w:tc>
        <w:tc>
          <w:tcPr>
            <w:tcW w:type="dxa" w:w="51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BST (all correct)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Low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Low</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Shared knowledge — clear clinical markers in vignette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_ST (KD gain)</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Low</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Both distilled models learned beyond base; genuine KD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_S_ (student only)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Moderate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SFT-specific gain; some GT-lucky, some genuine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__T (teacher only)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High</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Teacher uncontaminated; student GT-poisoned on these cases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BS_ (base+student)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Low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Disease name in vignette text — surface recall shared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B_T (base+teacher)</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High</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High</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Base echoed; student GT-poisoned; teacher reasoned correctly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B__ (base only)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Pure M1 label-leaks — distilled models reasoned to wrong answer</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___ (all wrong)</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Variable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~0</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Irreducible difficulty; ambiguous cases</w:t>
            </w:r>
          </w:p>
        </w:tc>
      </w:tr>
    </w:tbl>
    <w:p>
      <w:r>
        <w:br w:type="page"/>
      </w:r>
    </w:p>
    <w:p>
      <w:pPr>
        <w:pStyle w:val="Heading1"/>
        <w:spacing w:before="360" w:after="160"/>
      </w:pPr>
      <w:r>
        <w:rPr>
          <w:rFonts w:ascii="Arial" w:cs="Arial" w:eastAsia="Arial" w:hAnsi="Arial"/>
          <w:b/>
          <w:bCs/>
          <w:color w:val="1B3A4B"/>
          <w:sz w:val="36"/>
          <w:szCs w:val="36"/>
        </w:rPr>
        <w:t xml:space="preserve">6. Results Mapped to the Hypothesis</w:t>
      </w:r>
    </w:p>
    <w:p>
      <w:pPr>
        <w:pStyle w:val="Heading2"/>
        <w:spacing w:before="280" w:after="120"/>
      </w:pPr>
      <w:r>
        <w:rPr>
          <w:rFonts w:ascii="Arial" w:cs="Arial" w:eastAsia="Arial" w:hAnsi="Arial"/>
          <w:b/>
          <w:bCs/>
          <w:color w:val="1A6B5E"/>
          <w:sz w:val="28"/>
          <w:szCs w:val="28"/>
        </w:rPr>
        <w:t xml:space="preserve">6.1 Evidence for Knowledge Distillation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48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KD component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_ST cell: 6.2% of cases — both distilled models correct, base wrong</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Primary KD signal — knowledge acquired through traces, not pretraining</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P(student correct | base wrong) = 0.164</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16.4% KD gain rate on base-failure cases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P(student correct | base correct) = 0.895</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89.5% base knowledge retained — no catastrophic forgetting</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S−B frequency correlation: ρ=0.170, p=0.008 **</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KD scales with training exposure; teacher's T−B does not (p=0.52)</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Q4 bin: student +0.135 vs base; teacher +0.055 vs base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gains 2.5× more than teacher from high-frequency training</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CF1 corrected: student 0.386 vs teacher 0.307</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Underlying KD+CoT-D yield 8pp advantage over 8B teacher at 1.5B</w:t>
            </w:r>
          </w:p>
        </w:tc>
      </w:tr>
    </w:tbl>
    <w:p>
      <w:pPr>
        <w:pStyle w:val="Heading2"/>
        <w:spacing w:before="280" w:after="120"/>
      </w:pPr>
      <w:r>
        <w:rPr>
          <w:rFonts w:ascii="Arial" w:cs="Arial" w:eastAsia="Arial" w:hAnsi="Arial"/>
          <w:b/>
          <w:bCs/>
          <w:color w:val="1A6B5E"/>
          <w:sz w:val="28"/>
          <w:szCs w:val="28"/>
        </w:rPr>
        <w:t xml:space="preserve">6.2 Evidence for Chain-of-Thought Distillation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48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CoT-D component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93.5% responses with &lt;/think&gt;; base: 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Format acquired through training — CoT-D succeeded structurally</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Think-block accuracy gap: student +0.032, teacher +0.101</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Structured reasoning correlates with accuracy for both distilled models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CoT benefit on base-wrong cases: teacher Δ=+0.007</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Structured reasoning adds lift even on hardest cases</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M1 0.340 vs Student M3 0.252 (gap=0.088)</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Reasoning chain surfaces correct answers that GT slot then overrides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DDx diseases named: student 0.273 vs teacher 0.202 (p&lt;0.001)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generates broader differential diagnosis — CoT format transferred</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Response length 3,756 chars (student) vs 1,583 (base)</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CoT-D added extended deliberative reasoning structure</w:t>
            </w:r>
          </w:p>
        </w:tc>
      </w:tr>
    </w:tbl>
    <w:p>
      <w:pPr>
        <w:pStyle w:val="Heading2"/>
        <w:spacing w:before="280" w:after="120"/>
      </w:pPr>
      <w:r>
        <w:rPr>
          <w:rFonts w:ascii="Arial" w:cs="Arial" w:eastAsia="Arial" w:hAnsi="Arial"/>
          <w:b/>
          <w:bCs/>
          <w:color w:val="1A6B5E"/>
          <w:sz w:val="28"/>
          <w:szCs w:val="28"/>
        </w:rPr>
        <w:t xml:space="preserve">6.3 Evidence That Limits the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48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constrains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M3 0.252 = Teacher M3 0.240 (ns)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CoT-D gave the format but not final-answer commitment — discipline gap remains</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Self-correction higher on wrong cases (student only)</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CoT format distilled; CoT calibration was not — RL signal needed</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GT contamination: 14.5% of predictions GT-poisoned</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High alpha-to-rank ratio over-fitted format including poisoned slot</w:t>
            </w:r>
          </w:p>
        </w:tc>
      </w:tr>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Student M1 advantage over teacher is GT-slot CoT surfacing, not final accuracy</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CoT advantage in M1 is partial artifact, not clean quality difference</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T−B frequency correlation not significant (p=0.52)</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Teacher's knowledge from pretraining scale; KD adds frequency-dependent signal on top</w:t>
            </w:r>
          </w:p>
        </w:tc>
      </w:tr>
    </w:tbl>
    <w:p>
      <w:r>
        <w:br w:type="page"/>
      </w:r>
    </w:p>
    <w:p>
      <w:pPr>
        <w:pStyle w:val="Heading1"/>
        <w:spacing w:before="360" w:after="160"/>
      </w:pPr>
      <w:r>
        <w:rPr>
          <w:rFonts w:ascii="Arial" w:cs="Arial" w:eastAsia="Arial" w:hAnsi="Arial"/>
          <w:b/>
          <w:bCs/>
          <w:color w:val="1B3A4B"/>
          <w:sz w:val="36"/>
          <w:szCs w:val="36"/>
        </w:rPr>
        <w:t xml:space="preserve">7. Limitations</w:t>
      </w:r>
    </w:p>
    <w:p>
      <w:pPr>
        <w:pStyle w:val="ListParagraph"/>
        <w:numPr>
          <w:ilvl w:val="0"/>
          <w:numId w:val="2"/>
        </w:numPr>
        <w:spacing w:before="40" w:after="60"/>
      </w:pPr>
      <w:r>
        <w:rPr>
          <w:rFonts w:ascii="Arial" w:cs="Arial" w:eastAsia="Arial" w:hAnsi="Arial"/>
          <w:color w:val="555555"/>
          <w:sz w:val="22"/>
          <w:szCs w:val="22"/>
        </w:rPr>
        <w:t xml:space="preserve">M2 char-limit is arbitrary (300 chars). The boundary between case-echo and genuine reasoning opener is inherently fuzzy. M2 corrected base (6.0%) is a lower bound on genuine base performance. True genuine base accuracy is between 6.0% and 24.0%.</w:t>
      </w:r>
    </w:p>
    <w:p>
      <w:pPr>
        <w:pStyle w:val="ListParagraph"/>
        <w:numPr>
          <w:ilvl w:val="0"/>
          <w:numId w:val="2"/>
        </w:numPr>
        <w:spacing w:before="40" w:after="60"/>
      </w:pPr>
      <w:r>
        <w:rPr>
          <w:rFonts w:ascii="Arial" w:cs="Arial" w:eastAsia="Arial" w:hAnsi="Arial"/>
          <w:color w:val="555555"/>
          <w:sz w:val="22"/>
          <w:szCs w:val="22"/>
        </w:rPr>
        <w:t xml:space="preserve">M1 credits disease anywhere in the full response, including rejected differentials. This inflates all models unevenly — student think chains are longest, so student M1 is most inflated.</w:t>
      </w:r>
    </w:p>
    <w:p>
      <w:pPr>
        <w:pStyle w:val="ListParagraph"/>
        <w:numPr>
          <w:ilvl w:val="0"/>
          <w:numId w:val="2"/>
        </w:numPr>
        <w:spacing w:before="40" w:after="60"/>
      </w:pPr>
      <w:r>
        <w:rPr>
          <w:rFonts w:ascii="Arial" w:cs="Arial" w:eastAsia="Arial" w:hAnsi="Arial"/>
          <w:color w:val="555555"/>
          <w:sz w:val="22"/>
          <w:szCs w:val="22"/>
        </w:rPr>
        <w:t xml:space="preserve">M3 is anti-conservative in the opposite direction: 147 student and 365 teacher responses have no &lt;diagnosis&gt; tag and are scored 0.</w:t>
      </w:r>
    </w:p>
    <w:p>
      <w:pPr>
        <w:pStyle w:val="ListParagraph"/>
        <w:numPr>
          <w:ilvl w:val="0"/>
          <w:numId w:val="2"/>
        </w:numPr>
        <w:spacing w:before="40" w:after="60"/>
      </w:pPr>
      <w:r>
        <w:rPr>
          <w:rFonts w:ascii="Arial" w:cs="Arial" w:eastAsia="Arial" w:hAnsi="Arial"/>
          <w:color w:val="555555"/>
          <w:sz w:val="22"/>
          <w:szCs w:val="22"/>
        </w:rPr>
        <w:t xml:space="preserve">McNemar ignores within-disease clustering. All McNemar p-values are anti-conservative. The clustered permutation test is the primary result.</w:t>
      </w:r>
    </w:p>
    <w:p>
      <w:pPr>
        <w:pStyle w:val="ListParagraph"/>
        <w:numPr>
          <w:ilvl w:val="0"/>
          <w:numId w:val="2"/>
        </w:numPr>
        <w:spacing w:before="40" w:after="60"/>
      </w:pPr>
      <w:r>
        <w:rPr>
          <w:rFonts w:ascii="Arial" w:cs="Arial" w:eastAsia="Arial" w:hAnsi="Arial"/>
          <w:color w:val="555555"/>
          <w:sz w:val="22"/>
          <w:szCs w:val="22"/>
        </w:rPr>
        <w:t xml:space="preserve">GT contamination detection only catches one phrasing ('ground truth is X'). Other formulations are invisible; the 29.7% rate is a lower bound.</w:t>
      </w:r>
    </w:p>
    <w:p>
      <w:pPr>
        <w:pStyle w:val="ListParagraph"/>
        <w:numPr>
          <w:ilvl w:val="0"/>
          <w:numId w:val="2"/>
        </w:numPr>
        <w:spacing w:before="40" w:after="60"/>
      </w:pPr>
      <w:r>
        <w:rPr>
          <w:rFonts w:ascii="Arial" w:cs="Arial" w:eastAsia="Arial" w:hAnsi="Arial"/>
          <w:color w:val="555555"/>
          <w:sz w:val="22"/>
          <w:szCs w:val="22"/>
        </w:rPr>
        <w:t xml:space="preserve">CF1 and CF2 assume the no-GT accuracy rate is the right counterfactual. GT-wrong cases may be systematically harder cases where the student would have underperformed regardless of contamination.</w:t>
      </w:r>
    </w:p>
    <w:p>
      <w:pPr>
        <w:pStyle w:val="ListParagraph"/>
        <w:numPr>
          <w:ilvl w:val="0"/>
          <w:numId w:val="2"/>
        </w:numPr>
        <w:spacing w:before="40" w:after="60"/>
      </w:pPr>
      <w:r>
        <w:rPr>
          <w:rFonts w:ascii="Arial" w:cs="Arial" w:eastAsia="Arial" w:hAnsi="Arial"/>
          <w:color w:val="555555"/>
          <w:sz w:val="22"/>
          <w:szCs w:val="22"/>
        </w:rPr>
        <w:t xml:space="preserve">Training frequency measures quantity of training examples, not quality. A disease with 150 low-information examples may train worse than one with 30 rich narratives.</w:t>
      </w:r>
    </w:p>
    <w:p>
      <w:pPr>
        <w:pStyle w:val="ListParagraph"/>
        <w:numPr>
          <w:ilvl w:val="0"/>
          <w:numId w:val="2"/>
        </w:numPr>
        <w:spacing w:before="40" w:after="60"/>
      </w:pPr>
      <w:r>
        <w:rPr>
          <w:rFonts w:ascii="Arial" w:cs="Arial" w:eastAsia="Arial" w:hAnsi="Arial"/>
          <w:color w:val="555555"/>
          <w:sz w:val="22"/>
          <w:szCs w:val="22"/>
        </w:rPr>
        <w:t xml:space="preserve">Per-disease accuracy from 8 binary observations creates estimates at multiples of 0.125. Discretisation inflates variance in per-disease regressions and deflates R² values.</w:t>
      </w:r>
    </w:p>
    <w:p>
      <w:pPr>
        <w:pStyle w:val="ListParagraph"/>
        <w:numPr>
          <w:ilvl w:val="0"/>
          <w:numId w:val="2"/>
        </w:numPr>
        <w:spacing w:before="40" w:after="60"/>
      </w:pPr>
      <w:r>
        <w:rPr>
          <w:rFonts w:ascii="Arial" w:cs="Arial" w:eastAsia="Arial" w:hAnsi="Arial"/>
          <w:color w:val="555555"/>
          <w:sz w:val="22"/>
          <w:szCs w:val="22"/>
        </w:rPr>
        <w:t xml:space="preserve">The student–teacher comparison is non-independent. Student weights were shaped by teacher outputs. 'Student outperforms teacher' means the concentrated, task-specific fine-tuned 1.5B model outperforms its 8B teacher on the task it was trained for — not a general capability claim.</w:t>
      </w:r>
    </w:p>
    <w:p>
      <w:pPr>
        <w:pStyle w:val="ListParagraph"/>
        <w:numPr>
          <w:ilvl w:val="0"/>
          <w:numId w:val="2"/>
        </w:numPr>
        <w:spacing w:before="40" w:after="60"/>
      </w:pPr>
      <w:r>
        <w:rPr>
          <w:rFonts w:ascii="Arial" w:cs="Arial" w:eastAsia="Arial" w:hAnsi="Arial"/>
          <w:color w:val="555555"/>
          <w:sz w:val="22"/>
          <w:szCs w:val="22"/>
        </w:rPr>
        <w:t xml:space="preserve">ZebraMap cases are curated and well-formed. Real clinical notes are noisier, longer, more ambiguous. Benchmark performance would likely be lower on raw clinical data.</w:t>
      </w:r>
    </w:p>
    <w:p>
      <w:pPr>
        <w:pStyle w:val="ListParagraph"/>
        <w:numPr>
          <w:ilvl w:val="0"/>
          <w:numId w:val="2"/>
        </w:numPr>
        <w:spacing w:before="40" w:after="60"/>
      </w:pPr>
      <w:r>
        <w:rPr>
          <w:rFonts w:ascii="Arial" w:cs="Arial" w:eastAsia="Arial" w:hAnsi="Arial"/>
          <w:color w:val="555555"/>
          <w:sz w:val="22"/>
          <w:szCs w:val="22"/>
        </w:rPr>
        <w:t xml:space="preserve">Three layers of quantisation (base 4-bit, teacher Q4_K_M GGUF, student 4-bit QLoRA) introduce cumulative precision loss whose effect on accuracy is unmeasured.</w:t>
      </w:r>
    </w:p>
    <w:p>
      <w:pPr>
        <w:pStyle w:val="ListParagraph"/>
        <w:numPr>
          <w:ilvl w:val="0"/>
          <w:numId w:val="2"/>
        </w:numPr>
        <w:spacing w:before="40" w:after="60"/>
      </w:pPr>
      <w:r>
        <w:rPr>
          <w:rFonts w:ascii="Arial" w:cs="Arial" w:eastAsia="Arial" w:hAnsi="Arial"/>
          <w:color w:val="555555"/>
          <w:sz w:val="22"/>
          <w:szCs w:val="22"/>
        </w:rPr>
        <w:t xml:space="preserve">Scaling studies were not performed due to resource constraints. The key unanswered question is whether a 7B student trained on the same traces achieves proportionally larger gains. The frequency correlation (ρ=0.170, p=0.008) suggests capacity to scale exists, but this remains untested.</w:t>
      </w:r>
    </w:p>
    <w:p>
      <w:pPr>
        <w:pStyle w:val="ListParagraph"/>
        <w:numPr>
          <w:ilvl w:val="0"/>
          <w:numId w:val="2"/>
        </w:numPr>
        <w:spacing w:before="40" w:after="60"/>
      </w:pPr>
      <w:r>
        <w:rPr>
          <w:rFonts w:ascii="Arial" w:cs="Arial" w:eastAsia="Arial" w:hAnsi="Arial"/>
          <w:color w:val="555555"/>
          <w:sz w:val="22"/>
          <w:szCs w:val="22"/>
        </w:rPr>
        <w:t xml:space="preserve">The benchmark's 59.7% all-three-wrong rate likely reflects genuine rare-disease difficulty, but we cannot decompose it further into 'harder diseases' vs 'evaluation set contamination' vs 'pretraining exposure gaps'.</w:t>
      </w:r>
    </w:p>
    <w:p>
      <w:pPr>
        <w:pStyle w:val="ListParagraph"/>
        <w:numPr>
          <w:ilvl w:val="0"/>
          <w:numId w:val="2"/>
        </w:numPr>
        <w:spacing w:before="40" w:after="60"/>
      </w:pPr>
      <w:r>
        <w:rPr>
          <w:rFonts w:ascii="Arial" w:cs="Arial" w:eastAsia="Arial" w:hAnsi="Arial"/>
          <w:color w:val="555555"/>
          <w:sz w:val="22"/>
          <w:szCs w:val="22"/>
        </w:rPr>
        <w:t xml:space="preserve">No calibration or confidence measurement. All analysis uses binary correctness. A highly confident wrong answer and a hedged wrong answer are treated identically.</w:t>
      </w:r>
    </w:p>
    <w:p>
      <w:r>
        <w:br w:type="page"/>
      </w:r>
    </w:p>
    <w:p>
      <w:pPr>
        <w:pStyle w:val="Heading1"/>
        <w:spacing w:before="360" w:after="160"/>
      </w:pPr>
      <w:r>
        <w:rPr>
          <w:rFonts w:ascii="Arial" w:cs="Arial" w:eastAsia="Arial" w:hAnsi="Arial"/>
          <w:b/>
          <w:bCs/>
          <w:color w:val="1B3A4B"/>
          <w:sz w:val="36"/>
          <w:szCs w:val="36"/>
        </w:rPr>
        <w:t xml:space="preserve">8. Final Synthesis</w:t>
      </w:r>
    </w:p>
    <w:p>
      <w:pPr>
        <w:pStyle w:val="Heading2"/>
        <w:spacing w:before="280" w:after="120"/>
      </w:pPr>
      <w:r>
        <w:rPr>
          <w:rFonts w:ascii="Arial" w:cs="Arial" w:eastAsia="Arial" w:hAnsi="Arial"/>
          <w:b/>
          <w:bCs/>
          <w:color w:val="1A6B5E"/>
          <w:sz w:val="28"/>
          <w:szCs w:val="28"/>
        </w:rPr>
        <w:t xml:space="preserve">8.1 What This System Actually Demonstrates</w:t>
      </w:r>
    </w:p>
    <w:p>
      <w:pPr>
        <w:spacing w:before="60" w:after="100"/>
      </w:pPr>
      <w:r>
        <w:rPr>
          <w:rFonts w:ascii="Arial" w:cs="Arial" w:eastAsia="Arial" w:hAnsi="Arial"/>
          <w:color w:val="555555"/>
          <w:sz w:val="22"/>
          <w:szCs w:val="22"/>
        </w:rPr>
        <w:t xml:space="preserve">The base model (Qwen-2.5-1.5B, 4-bit) on rare disease diagnosis: genuine accuracy approximately 6%. Unstructured output. No traceability. No correctability.</w:t>
      </w:r>
    </w:p>
    <w:p>
      <w:pPr>
        <w:spacing w:before="60" w:after="100"/>
      </w:pPr>
      <w:r>
        <w:rPr>
          <w:rFonts w:ascii="Arial" w:cs="Arial" w:eastAsia="Arial" w:hAnsi="Arial"/>
          <w:color w:val="555555"/>
          <w:sz w:val="22"/>
          <w:szCs w:val="22"/>
        </w:rPr>
        <w:t xml:space="preserve">The student model (same architecture, QLoRA fine-tuned on 8B teacher traces): CF1-corrected accuracy 38.6%. Structured output: think chain + diagnosis tag. Every inference is auditable. Failure modes are identifiable and correctable.</w:t>
      </w:r>
    </w:p>
    <w:p>
      <w:pPr>
        <w:spacing w:before="60" w:after="100"/>
      </w:pPr>
      <w:r>
        <w:rPr>
          <w:rFonts w:ascii="Arial" w:cs="Arial" w:eastAsia="Arial" w:hAnsi="Arial"/>
          <w:color w:val="555555"/>
          <w:sz w:val="22"/>
          <w:szCs w:val="22"/>
        </w:rPr>
        <w:t xml:space="preserve">The qualitative change — from unstructured guessing to explicit structured reasoning — is the primary output of this project. The accuracy improvement (6% → 38.6%) is the quantitative measure of that change. Both components of the hypothesis are required to explain it: knowledge distillation explains why the model now knows things it didn't before; CoT distillation explains why the model surfaces that knowledge in a way that is transparent and improvable.</w:t>
      </w:r>
    </w:p>
    <w:p>
      <w:pPr>
        <w:pStyle w:val="Heading2"/>
        <w:spacing w:before="280" w:after="120"/>
      </w:pPr>
      <w:r>
        <w:rPr>
          <w:rFonts w:ascii="Arial" w:cs="Arial" w:eastAsia="Arial" w:hAnsi="Arial"/>
          <w:b/>
          <w:bCs/>
          <w:color w:val="1A6B5E"/>
          <w:sz w:val="28"/>
          <w:szCs w:val="28"/>
        </w:rPr>
        <w:t xml:space="preserve">8.2 The Parameter Efficiency Argument</w:t>
      </w:r>
    </w:p>
    <w:p>
      <w:pPr>
        <w:spacing w:before="60" w:after="100"/>
      </w:pPr>
      <w:r>
        <w:rPr>
          <w:rFonts w:ascii="Arial" w:cs="Arial" w:eastAsia="Arial" w:hAnsi="Arial"/>
          <w:color w:val="555555"/>
          <w:sz w:val="22"/>
          <w:szCs w:val="22"/>
        </w:rPr>
        <w:t xml:space="preserve">A 1.5B model trained on 8B model traces achieves CF1-corrected accuracy of 0.386 versus the teacher's 0.307 — an 8-percentage-point advantage on a task neither model was specifically pretrained for. Per billion parameters: student achieves 0.257 accuracy points per billion parameters vs teacher's 0.038. Roughly 6.7× parameter efficiency on this task.</w:t>
      </w:r>
    </w:p>
    <w:p>
      <w:pPr>
        <w:spacing w:before="60" w:after="100"/>
      </w:pPr>
      <w:r>
        <w:rPr>
          <w:rFonts w:ascii="Arial" w:cs="Arial" w:eastAsia="Arial" w:hAnsi="Arial"/>
          <w:color w:val="555555"/>
          <w:sz w:val="22"/>
          <w:szCs w:val="22"/>
        </w:rPr>
        <w:t xml:space="preserve">This is not achievable through parameter scale alone. The 1.5B base model at 4-bit quantisation has a genuine accuracy of approximately 6%. The 8B teacher has a genuine accuracy of 30.7%. The student's 38.6% corrected accuracy crosses the teacher's with 1.5B parameters because fine-tuning concentrated task-specific knowledge and reasoning structure that scale alone cannot purchase at this parameter count.</w:t>
      </w:r>
    </w:p>
    <w:p>
      <w:pPr>
        <w:pStyle w:val="Heading2"/>
        <w:spacing w:before="280" w:after="120"/>
      </w:pPr>
      <w:r>
        <w:rPr>
          <w:rFonts w:ascii="Arial" w:cs="Arial" w:eastAsia="Arial" w:hAnsi="Arial"/>
          <w:b/>
          <w:bCs/>
          <w:color w:val="1A6B5E"/>
          <w:sz w:val="28"/>
          <w:szCs w:val="28"/>
        </w:rPr>
        <w:t xml:space="preserve">8.3 The Contamination Artifact as Proof of Concept</w:t>
      </w:r>
    </w:p>
    <w:p>
      <w:pPr>
        <w:spacing w:before="60" w:after="100"/>
      </w:pPr>
      <w:r>
        <w:rPr>
          <w:rFonts w:ascii="Arial" w:cs="Arial" w:eastAsia="Arial" w:hAnsi="Arial"/>
          <w:color w:val="555555"/>
          <w:sz w:val="22"/>
          <w:szCs w:val="22"/>
        </w:rPr>
        <w:t xml:space="preserve">Paradoxically, the GT contamination artifact is evidence that the training approach worked. The student absorbed the teacher's reasoning format so faithfully — including the 'ground truth is X' slot that R1-style transparent reasoning introduces when prompted with visible labels — that it learned to depend on it. The contamination is a training data problem (hindsight-supervised traces with label leakage), not a model capability problem.</w:t>
      </w:r>
    </w:p>
    <w:p>
      <w:pPr>
        <w:spacing w:before="60" w:after="100"/>
      </w:pPr>
      <w:r>
        <w:rPr>
          <w:rFonts w:ascii="Arial" w:cs="Arial" w:eastAsia="Arial" w:hAnsi="Arial"/>
          <w:color w:val="555555"/>
          <w:sz w:val="22"/>
          <w:szCs w:val="22"/>
        </w:rPr>
        <w:t xml:space="preserve">The fix is straightforward: regenerate traces without gold labels visible in the input. The CF1 counterfactual (corrected accuracy 0.386) estimates what the student would achieve with that fix. The student's architecture and training methodology are sound; the traces were the weak point.</w:t>
      </w:r>
    </w:p>
    <w:p>
      <w:pPr>
        <w:pStyle w:val="Heading2"/>
        <w:spacing w:before="280" w:after="120"/>
      </w:pPr>
      <w:r>
        <w:rPr>
          <w:rFonts w:ascii="Arial" w:cs="Arial" w:eastAsia="Arial" w:hAnsi="Arial"/>
          <w:b/>
          <w:bCs/>
          <w:color w:val="1A6B5E"/>
          <w:sz w:val="28"/>
          <w:szCs w:val="28"/>
        </w:rPr>
        <w:t xml:space="preserve">8.4 What the Training Frequency Pattern Tells Us</w:t>
      </w:r>
    </w:p>
    <w:p>
      <w:pPr>
        <w:spacing w:before="60" w:after="100"/>
      </w:pPr>
      <w:r>
        <w:rPr>
          <w:rFonts w:ascii="Arial" w:cs="Arial" w:eastAsia="Arial" w:hAnsi="Arial"/>
          <w:color w:val="555555"/>
          <w:sz w:val="22"/>
          <w:szCs w:val="22"/>
        </w:rPr>
        <w:t xml:space="preserve">The significant correlation between training frequency and student (but not teacher) advantage over the base tells us that this approach has headroom. More training examples per disease → larger student gain. The Q4 bin (high-frequency diseases) shows the student gaining +0.135 over base; Q1 (low-frequency) shows only +0.050. Increasing training data coverage and per-disease density should continue to push performance upward along the same relationship.</w:t>
      </w:r>
    </w:p>
    <w:p>
      <w:pPr>
        <w:spacing w:before="60" w:after="100"/>
      </w:pPr>
      <w:r>
        <w:rPr>
          <w:rFonts w:ascii="Arial" w:cs="Arial" w:eastAsia="Arial" w:hAnsi="Arial"/>
          <w:color w:val="555555"/>
          <w:sz w:val="22"/>
          <w:szCs w:val="22"/>
        </w:rPr>
        <w:t xml:space="preserve">Scaling studies were not performed due to resource constraints. This is the primary remaining question: does a 7B student trained on the same traces achieve proportionally larger gains? The frequency correlation suggests the approach is data-hungry in the right ways — it rewards more training signal, not just more parameters.</w:t>
      </w:r>
    </w:p>
    <w:p>
      <w:pPr>
        <w:pStyle w:val="Heading2"/>
        <w:spacing w:before="280" w:after="120"/>
      </w:pPr>
      <w:r>
        <w:rPr>
          <w:rFonts w:ascii="Arial" w:cs="Arial" w:eastAsia="Arial" w:hAnsi="Arial"/>
          <w:b/>
          <w:bCs/>
          <w:color w:val="1A6B5E"/>
          <w:sz w:val="28"/>
          <w:szCs w:val="28"/>
        </w:rPr>
        <w:t xml:space="preserve">8.5 Practical Implications</w:t>
      </w:r>
    </w:p>
    <w:p>
      <w:pPr>
        <w:pStyle w:val="ListParagraph"/>
        <w:numPr>
          <w:ilvl w:val="0"/>
          <w:numId w:val="2"/>
        </w:numPr>
        <w:spacing w:before="40" w:after="60"/>
      </w:pPr>
      <w:r>
        <w:rPr>
          <w:rFonts w:ascii="Arial" w:cs="Arial" w:eastAsia="Arial" w:hAnsi="Arial"/>
          <w:color w:val="555555"/>
          <w:sz w:val="22"/>
          <w:szCs w:val="22"/>
        </w:rPr>
        <w:t xml:space="preserve">The structured output format (think chain + diagnosis tag) makes the model's reasoning auditable by domain experts. A rare disease specialist can read the think chain and identify where reasoning diverged from clinical truth.</w:t>
      </w:r>
    </w:p>
    <w:p>
      <w:pPr>
        <w:pStyle w:val="ListParagraph"/>
        <w:numPr>
          <w:ilvl w:val="0"/>
          <w:numId w:val="2"/>
        </w:numPr>
        <w:spacing w:before="40" w:after="60"/>
      </w:pPr>
      <w:r>
        <w:rPr>
          <w:rFonts w:ascii="Arial" w:cs="Arial" w:eastAsia="Arial" w:hAnsi="Arial"/>
          <w:color w:val="555555"/>
          <w:sz w:val="22"/>
          <w:szCs w:val="22"/>
        </w:rPr>
        <w:t xml:space="preserve">GT contamination is correctable at the trace generation stage, not the model stage. Regenerating traces without label leakage should recover the CF1 performance level with the same model.</w:t>
      </w:r>
    </w:p>
    <w:p>
      <w:pPr>
        <w:pStyle w:val="ListParagraph"/>
        <w:numPr>
          <w:ilvl w:val="0"/>
          <w:numId w:val="2"/>
        </w:numPr>
        <w:spacing w:before="40" w:after="60"/>
      </w:pPr>
      <w:r>
        <w:rPr>
          <w:rFonts w:ascii="Arial" w:cs="Arial" w:eastAsia="Arial" w:hAnsi="Arial"/>
          <w:color w:val="555555"/>
          <w:sz w:val="22"/>
          <w:szCs w:val="22"/>
        </w:rPr>
        <w:t xml:space="preserve">The self-revision miscalibration (CoT style without CoT discipline) is the correct target for a subsequent RL phase. Process reward models or GRPO on the think chain content could teach the model which self-corrections are clinically meaningful.</w:t>
      </w:r>
    </w:p>
    <w:p>
      <w:pPr>
        <w:pStyle w:val="ListParagraph"/>
        <w:numPr>
          <w:ilvl w:val="0"/>
          <w:numId w:val="2"/>
        </w:numPr>
        <w:spacing w:before="40" w:after="60"/>
      </w:pPr>
      <w:r>
        <w:rPr>
          <w:rFonts w:ascii="Arial" w:cs="Arial" w:eastAsia="Arial" w:hAnsi="Arial"/>
          <w:color w:val="555555"/>
          <w:sz w:val="22"/>
          <w:szCs w:val="22"/>
        </w:rPr>
        <w:t xml:space="preserve">The 59.7% all-three-wrong rate identifies a ceiling imposed by benchmark difficulty. Improving beyond it likely requires either larger models or higher-quality training traces — not just more traces of the same kind.</w:t>
      </w:r>
    </w:p>
    <w:p>
      <w:r>
        <w:br w:type="page"/>
      </w:r>
    </w:p>
    <w:p>
      <w:pPr>
        <w:pStyle w:val="Heading1"/>
        <w:spacing w:before="360" w:after="160"/>
      </w:pPr>
      <w:r>
        <w:rPr>
          <w:rFonts w:ascii="Arial" w:cs="Arial" w:eastAsia="Arial" w:hAnsi="Arial"/>
          <w:b/>
          <w:bCs/>
          <w:color w:val="1B3A4B"/>
          <w:sz w:val="36"/>
          <w:szCs w:val="36"/>
        </w:rPr>
        <w:t xml:space="preserve">Appendix: Iterative Analysis Summary</w:t>
      </w:r>
    </w:p>
    <w:p>
      <w:pPr>
        <w:pStyle w:val="Heading2"/>
        <w:spacing w:before="280" w:after="120"/>
      </w:pPr>
      <w:r>
        <w:rPr>
          <w:rFonts w:ascii="Arial" w:cs="Arial" w:eastAsia="Arial" w:hAnsi="Arial"/>
          <w:b/>
          <w:bCs/>
          <w:color w:val="1A6B5E"/>
          <w:sz w:val="28"/>
          <w:szCs w:val="28"/>
        </w:rPr>
        <w:t xml:space="preserve">Key Corrections Applied During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30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Discovery</w:t>
            </w:r>
          </w:p>
        </w:tc>
        <w:tc>
          <w:tcPr>
            <w:tcW w:type="dxa" w:w="43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Correction Applied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 model label-leak inflation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Disease name found in first 300 chars of echo-opener responses. 74.9% of base M1-correct cases flagged.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M2 metric introduced: corrected base 24.0% → 6.0%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Base model case misalignment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Prior base results used different vignettes (pool A). McNemar invalid for base comparisons.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base_results.csv provides aligned data; all McNemar now valid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Disease frequency matching gaps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60/247 diseases failed matching against disease_frequencies.csv. Prior addendum on 'unmatched' diseases was erroneous.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base.csv used directly for frequency derivation. All 247 matched. Prior addendum retracted.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GT cascade plot overflow</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Conditional rate (0.84) plotted on same axis as absolute rate (0.30) with ylim=0.55.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ylim expanded to 1.05; axis labelled 'conditional where noted'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M1 vs M3 errorbar mismatch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Bars grouped by model; errorbars looped by metric. Teacher M1 CI plotted above Student M3 bar.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Bars and errorbars both now grouped by metric. CIs correctly sit on their own bars.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Forest plot annotations clipped</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xlim=0.47/0.50 clipped value annotations for Student M1 CI hi=0.377 + offset.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xlim expanded to 0.56 in both scripts</w:t>
            </w:r>
          </w:p>
        </w:tc>
      </w:tr>
    </w:tbl>
    <w:p>
      <w:pPr>
        <w:spacing w:before="40" w:after="40"/>
      </w:pPr>
    </w:p>
    <w:p>
      <w:pPr>
        <w:pStyle w:val="Heading2"/>
        <w:spacing w:before="280" w:after="120"/>
      </w:pPr>
      <w:r>
        <w:rPr>
          <w:rFonts w:ascii="Arial" w:cs="Arial" w:eastAsia="Arial" w:hAnsi="Arial"/>
          <w:b/>
          <w:bCs/>
          <w:color w:val="1A6B5E"/>
          <w:sz w:val="28"/>
          <w:szCs w:val="28"/>
        </w:rPr>
        <w:t xml:space="preserve">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6560"/>
            <w:tcBorders>
              <w:top w:val="single" w:color="CCCCCC" w:sz="4"/>
              <w:left w:val="single" w:color="CCCCCC" w:sz="4"/>
              <w:bottom w:val="single" w:color="CCCCCC" w:sz="4"/>
              <w:right w:val="single" w:color="CCCCCC" w:sz="4"/>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quantitative_analysis.png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10-panel quantitative analysis figure: forest plot, M2 sweep, three-way cells, pairwise gaps, conditional accuracy, frequency OLS, binned frequency, per-disease scatters, CoT plots, frequency distribution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qualitative_analysis.png</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11-panel qualitative figure: GT cascade, accuracy by GT context, counterfactuals, error taxonomy, reasoning style radar, self-correction by outcome, think length distributions, outcome cell composition, CF1 bootstrap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addendum_analysis.png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9-panel addendum: all 247 diseases on frequency axes, binned analysis, per-disease scatter, delta sorted by quartile, frequency histogram</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quantitative_analysis.py</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Complete quantitative script with all methodology documented inline (M1/M2/M3, McNemar, clustered bootstrap, OLS, Spearman, three-way decomposition)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qualitative_analysis.py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Complete qualitative script (GT contamination, CF1/CF2, SFT limitations, error taxonomy, three-way outcome analysis)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addendum_analysis.py</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Training frequency addendum with full 247-disease coverage from base.csv</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per_disease_accuracy.csv</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Per-disease accuracy for all three models + training frequency + deltas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qualitative_enriched.csv</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Case-level enriched dataset with GT fields, error taxonomy, reasoning metrics, outcome labels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6B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2026-03-17T06:42:04.347Z</dcterms:created>
  <dcterms:modified xsi:type="dcterms:W3CDTF">2026-03-17T06:42:04.348Z</dcterms:modified>
</cp:coreProperties>
</file>

<file path=docProps/custom.xml><?xml version="1.0" encoding="utf-8"?>
<Properties xmlns="http://schemas.openxmlformats.org/officeDocument/2006/custom-properties" xmlns:vt="http://schemas.openxmlformats.org/officeDocument/2006/docPropsVTypes"/>
</file>