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5369" w14:textId="77777777" w:rsidR="0096742E" w:rsidRDefault="0096742E"/>
    <w:p w14:paraId="05923BFF" w14:textId="2C0D7FEF" w:rsidR="0096742E" w:rsidRDefault="00B315C2">
      <w:pPr>
        <w:pStyle w:val="PaperTitle"/>
        <w:rPr>
          <w:bCs/>
        </w:rPr>
      </w:pPr>
      <w:r>
        <w:t>AIMS Lens Engine: An Evidence-Governed Framework for Interview Follow-Up Simulation and Practice Prioritization</w:t>
      </w:r>
    </w:p>
    <w:p w14:paraId="56145E5B" w14:textId="77777777" w:rsidR="0096742E" w:rsidRDefault="009F6C37">
      <w:pPr>
        <w:pStyle w:val="AuthorLine"/>
      </w:pPr>
      <w:r>
        <w:t>Author details withheld for double-anonymous review</w:t>
      </w:r>
    </w:p>
    <w:p w14:paraId="6674B627" w14:textId="02355267" w:rsidR="0096742E" w:rsidRDefault="00B315C2">
      <w:pPr>
        <w:pStyle w:val="MetaLine"/>
      </w:pPr>
      <w:r>
        <w:t>Version 1.5 | Journal submission manuscript | double-anonymous review copy</w:t>
      </w:r>
    </w:p>
    <w:p w14:paraId="267CE1FE" w14:textId="77777777" w:rsidR="0096742E" w:rsidRDefault="009F6C37">
      <w:r>
        <w:rPr>
          <w:rFonts w:eastAsia="Times New Roman"/>
          <w:color w:val="232323"/>
        </w:rPr>
        <w:pict w14:anchorId="06230185">
          <v:rect id="_x0000_i1025" style="width:0;height:.75pt" o:hralign="center" o:hrstd="t" o:hr="t" fillcolor="#a0a0a0" stroked="f"/>
        </w:pict>
      </w:r>
    </w:p>
    <w:p w14:paraId="1FF68F5D" w14:textId="77777777" w:rsidR="0096742E" w:rsidRDefault="009F6C37">
      <w:pPr>
        <w:pStyle w:val="AbstractHeading"/>
        <w:rPr>
          <w:bCs/>
        </w:rPr>
      </w:pPr>
      <w:r>
        <w:rPr>
          <w:bCs/>
        </w:rPr>
        <w:t>Abstract</w:t>
      </w:r>
    </w:p>
    <w:p w14:paraId="50E69E34" w14:textId="3124BCE8" w:rsidR="0096742E" w:rsidRDefault="00B315C2">
      <w:pPr>
        <w:pStyle w:val="AbstractText"/>
        <w:pBdr>
          <w:top w:val="single" w:sz="5" w:space="3" w:color="C8D2DC"/>
          <w:left w:val="single" w:sz="5" w:space="3" w:color="C8D2DC"/>
          <w:right w:val="single" w:sz="5" w:space="3" w:color="C8D2DC"/>
        </w:pBdr>
        <w:shd w:val="clear" w:color="auto" w:fill="F6F8FA"/>
      </w:pPr>
      <w:r>
        <w:t>AI interview-practice systems can generate fluent follow-ups without showing whether their specificity is justified by evidence. This paper presents AIMS Lens Engine, an independently deployable reference framework for evidence-governed interview practice. A versioned Lens records context, evidence lineage, authorization, maturity, and constraints; the engine combines compatibility rules, recursive plug-in hierarchical Dirichlet shrinkage, explicit backoff, and fail-closed abstention to prioritize candidate-side practice follow-ups. Version 1.5 aligns probability semantics with the executable reference and adds adversarial corrective verification, a synthetic binary latent-parameter hierarchy-approximation benchmark, and a K=5 routing-shrinkage overlap ablation. Controlled experiments verify authorization, routing, masking, support, calibration-metric implementation, reproducibility, and declared approximation behavior under controlled fixtures; held-out calibration remains an external evaluation requirement governed by explicit claims gates. Results establish internal consistency and reproducibility, not named-employer validity, population fairness, production-model semantic reliability, interview-improvement efficacy, or employment outcomes.</w:t>
      </w:r>
    </w:p>
    <w:p w14:paraId="2BF4D6E4" w14:textId="77777777" w:rsidR="0096742E" w:rsidRDefault="009F6C37">
      <w:pPr>
        <w:pStyle w:val="Keywords"/>
      </w:pPr>
      <w:r>
        <w:t>Keywords: responsible AI; evidence governance; interview simulation; epistemic restraint; probabilistic reasoning; abstention</w:t>
      </w:r>
    </w:p>
    <w:p w14:paraId="6AE4B866" w14:textId="77777777" w:rsidR="0096742E" w:rsidRDefault="009F6C37">
      <w:r>
        <w:rPr>
          <w:rFonts w:eastAsia="Times New Roman"/>
          <w:color w:val="232323"/>
        </w:rPr>
        <w:pict w14:anchorId="07FDFB93">
          <v:rect id="_x0000_i1026" style="width:0;height:.75pt" o:hralign="center" o:hrstd="t" o:hr="t" fillcolor="#a0a0a0" stroked="f"/>
        </w:pict>
      </w:r>
    </w:p>
    <w:p w14:paraId="63831D82" w14:textId="77777777" w:rsidR="0096742E" w:rsidRDefault="009F6C37">
      <w:pPr>
        <w:pStyle w:val="Heading1"/>
        <w:rPr>
          <w:bCs/>
        </w:rPr>
      </w:pPr>
      <w:r>
        <w:rPr>
          <w:bCs/>
        </w:rPr>
        <w:t>1 Introduction</w:t>
      </w:r>
    </w:p>
    <w:p w14:paraId="380FF931" w14:textId="77777777" w:rsidR="0096742E" w:rsidRDefault="009F6C37">
      <w:pPr>
        <w:pStyle w:val="Heading2"/>
        <w:rPr>
          <w:bCs/>
        </w:rPr>
      </w:pPr>
      <w:r>
        <w:t>1.1 The Translation and Epistemic-Boundary Problem</w:t>
      </w:r>
    </w:p>
    <w:p w14:paraId="57D79508" w14:textId="77777777" w:rsidR="0096742E" w:rsidRDefault="009F6C37">
      <w:r>
        <w:t>Interview preparation involves both a translation problem and an epistemic-boundary problem. A candidate may understand a job description and rehearse broad questions yet still struggle when an interviewer asks a focused probe such as: What did you personally own? How did you measure the trade-off? What changed because of your action? These follow-ups depend on the interaction among role requirements, the candidate's prior answer, interview stage, organizational context, and the evidence actually present in</w:t>
      </w:r>
      <w:r>
        <w:t xml:space="preserve"> the answer. The practical challenge is therefore not only to generate a plausible next question, but to justify why one category of follow-up should be prioritized over another.</w:t>
      </w:r>
    </w:p>
    <w:p w14:paraId="047D31A5" w14:textId="77777777" w:rsidR="0096742E" w:rsidRDefault="009F6C37">
      <w:r>
        <w:t>General-purpose language models can produce convincing follow-ups from a job description, résumé, or transcript. Their fluency, however, is not evidence that the generated probe reflects a target employer's real practice or that a highly specific recommendation is warranted. In employment contexts, unsupported specificity can create epistemic harm: users may mistake generated plausibility for privileged knowledge, infer certainty from sparse public evidence, or optimize toward an invented model of an organi</w:t>
      </w:r>
      <w:r>
        <w:t>zation. It can also create privacy and fairness risks if candidate records are recycled as evidence about employers or if opaque rules systematically privilege particular communication conventions.</w:t>
      </w:r>
    </w:p>
    <w:p w14:paraId="51E64355" w14:textId="77777777" w:rsidR="0096742E" w:rsidRDefault="009F6C37">
      <w:pPr>
        <w:pStyle w:val="Heading2"/>
        <w:rPr>
          <w:bCs/>
        </w:rPr>
      </w:pPr>
      <w:r>
        <w:t>1.2 The AIMS Lens Approach and System Boundary</w:t>
      </w:r>
    </w:p>
    <w:p w14:paraId="09B1FD28" w14:textId="77777777" w:rsidR="0096742E" w:rsidRDefault="009F6C37">
      <w:r>
        <w:t xml:space="preserve">AIMS Lens Engine addresses this challenge through a lens-based architecture. A Lens is a versioned, machine-readable, evidence-bounded hypothesis that states which evidence, assumptions, constraints, and maturity conditions make a follow-up strategy applicable to a defined interview context. It contains structured interview DNA, an evidence register, compatible follow-up categories, constraint rules, uncertainty settings, review information, and </w:t>
      </w:r>
      <w:r>
        <w:lastRenderedPageBreak/>
        <w:t>expiry conditions. A Lens is not an ontological description of a company and does not claim access to confidential interview processes.</w:t>
      </w:r>
    </w:p>
    <w:p w14:paraId="0C49A2E1" w14:textId="77777777" w:rsidR="0096742E" w:rsidRDefault="009F6C37">
      <w:r>
        <w:t>The central idea is simple: instead of asking a language model to improvise what an employer might ask next, the engine first decides what evidence gap is worth examining under the currently authorized Lens and how much specificity the evidence can support. Natural-language generation occurs only after this structured decision. The AIMS Lens Engine is designed as an independently deployable, institution-agnostic service. Reference Integration A is its first deep reference integration, while other clients ca</w:t>
      </w:r>
      <w:r>
        <w:t>n use the same versioned interfaces without adopting Reference Integration A-specific data structures or workflows.</w:t>
      </w:r>
    </w:p>
    <w:p w14:paraId="7FFA3FD1" w14:textId="77777777" w:rsidR="0096742E" w:rsidRDefault="009F6C37">
      <w:pPr>
        <w:pStyle w:val="Heading2"/>
        <w:rPr>
          <w:bCs/>
        </w:rPr>
      </w:pPr>
      <w:r>
        <w:t>1.3 Research Gap and Normative Position</w:t>
      </w:r>
    </w:p>
    <w:p w14:paraId="2F9875DD" w14:textId="77777777" w:rsidR="0096742E" w:rsidRDefault="009F6C37">
      <w:r>
        <w:t>The central research gap is not whether AI can generate interview questions or conduct multi-turn simulations. Existing interview science already studies structured probing, and recent systems demonstrate AI-mediated interview training. The unresolved problem addressed here is how a practice system should select, justify, constrain, and qualify a follow-up when organizational evidence is heterogeneous, sparse, time-sensitive, and differently authorized. AIMS therefore treats follow-up selection as an eviden</w:t>
      </w:r>
      <w:r>
        <w:t>ce-governance problem before it is a language-generation problem.</w:t>
      </w:r>
    </w:p>
    <w:p w14:paraId="06EE58FC" w14:textId="77777777" w:rsidR="0096742E" w:rsidRDefault="009F6C37">
      <w:r>
        <w:t>The framework adopts a normative position: an AI practice system should not claim more contextual knowledge than its evidence permits. Specificity should be earned through attributable, authorized, sufficiently current evidence; unsupported specificity should trigger broader routing or abstention. Candidate-side assistance should help users surface, organize, substantiate, and reflect on genuine experience, not manufacture evidence or reverse-engineer confidential employer decision processes. These obligati</w:t>
      </w:r>
      <w:r>
        <w:t>ons motivate the architecture rather than being added as downstream disclaimers.</w:t>
      </w:r>
    </w:p>
    <w:p w14:paraId="00D869C8" w14:textId="77777777" w:rsidR="0096742E" w:rsidRDefault="009F6C37">
      <w:pPr>
        <w:pStyle w:val="Heading2"/>
      </w:pPr>
      <w:r>
        <w:t>1.4 Design Commitments</w:t>
      </w:r>
    </w:p>
    <w:p w14:paraId="3E6F29F7" w14:textId="77777777" w:rsidR="0096742E" w:rsidRDefault="009F6C37">
      <w:r>
        <w:rPr>
          <w:rFonts w:eastAsia="Times New Roman"/>
          <w:color w:val="232323"/>
        </w:rPr>
        <w:t>The framework has five commitments:</w:t>
      </w:r>
    </w:p>
    <w:p w14:paraId="49A9B814" w14:textId="77777777" w:rsidR="0096742E" w:rsidRDefault="009F6C37">
      <w:r>
        <w:rPr>
          <w:rFonts w:eastAsia="Times New Roman"/>
          <w:b/>
          <w:bCs/>
          <w:color w:val="232323"/>
        </w:rPr>
        <w:t>First</w:t>
      </w:r>
      <w:r>
        <w:rPr>
          <w:rFonts w:eastAsia="Times New Roman"/>
          <w:color w:val="232323"/>
        </w:rPr>
        <w:t>, it treats company-specific modeling as evidence-conditioned, not as a claim of privileged access. A company Lens may be published only when its evidence is permitted, attributable, sufficiently current, and reviewed. When such evidence is unavailable, the system routes to an industry or derived Lens and labels that status.</w:t>
      </w:r>
    </w:p>
    <w:p w14:paraId="0F07BED2" w14:textId="77777777" w:rsidR="0096742E" w:rsidRDefault="009F6C37">
      <w:r>
        <w:rPr>
          <w:rFonts w:eastAsia="Times New Roman"/>
          <w:b/>
          <w:bCs/>
          <w:color w:val="232323"/>
        </w:rPr>
        <w:t>Second</w:t>
      </w:r>
      <w:r>
        <w:rPr>
          <w:rFonts w:eastAsia="Times New Roman"/>
          <w:color w:val="232323"/>
        </w:rPr>
        <w:t>, it separates two output modes. With sparse or indirect evidence, the system produces an ordered </w:t>
      </w:r>
      <w:r>
        <w:rPr>
          <w:rFonts w:eastAsia="Times New Roman"/>
          <w:b/>
          <w:bCs/>
          <w:color w:val="232323"/>
        </w:rPr>
        <w:t>practice priority</w:t>
      </w:r>
      <w:r>
        <w:rPr>
          <w:rFonts w:eastAsia="Times New Roman"/>
          <w:color w:val="232323"/>
        </w:rPr>
        <w:t>: a transparent recommendation about what a candidate should rehearse next. With appropriately authorized and sufficiently large labeled target data for the defined prediction task, the system may test probabilistic estimates. Numerical probability is not a default output and must not be presented as one without calibration evidence.</w:t>
      </w:r>
    </w:p>
    <w:p w14:paraId="373032D1" w14:textId="77777777" w:rsidR="0096742E" w:rsidRDefault="009F6C37">
      <w:r>
        <w:rPr>
          <w:rFonts w:eastAsia="Times New Roman"/>
          <w:b/>
          <w:bCs/>
          <w:color w:val="232323"/>
        </w:rPr>
        <w:t>Third</w:t>
      </w:r>
      <w:r>
        <w:rPr>
          <w:rFonts w:eastAsia="Times New Roman"/>
          <w:color w:val="232323"/>
        </w:rPr>
        <w:t>, it uses a </w:t>
      </w:r>
      <w:r>
        <w:rPr>
          <w:rFonts w:eastAsia="Times New Roman"/>
          <w:b/>
          <w:bCs/>
          <w:color w:val="232323"/>
        </w:rPr>
        <w:t>constrained dependency graph</w:t>
      </w:r>
      <w:r>
        <w:rPr>
          <w:rFonts w:eastAsia="Times New Roman"/>
          <w:color w:val="232323"/>
        </w:rPr>
        <w:t> rather than an unconstrained causal graph. The graph represents reviewable hypotheses about which interview attributes may make one follow-up category more relevant than another. It does not, by itself, identify causal effects.</w:t>
      </w:r>
    </w:p>
    <w:p w14:paraId="4F1A3C10" w14:textId="77777777" w:rsidR="0096742E" w:rsidRDefault="009F6C37">
      <w:r>
        <w:rPr>
          <w:rFonts w:eastAsia="Times New Roman"/>
          <w:b/>
          <w:bCs/>
          <w:color w:val="232323"/>
        </w:rPr>
        <w:t>Fourth</w:t>
      </w:r>
      <w:r>
        <w:rPr>
          <w:rFonts w:eastAsia="Times New Roman"/>
          <w:color w:val="232323"/>
        </w:rPr>
        <w:t>, it keeps candidate practice records separate from organization-level evidence. A candidate's practice transcript, drill result, or progress record may support that candidate's next exercise if the candidate has consented. It must not automatically update a company or industry Lens.</w:t>
      </w:r>
    </w:p>
    <w:p w14:paraId="3C7F1E3C" w14:textId="77777777" w:rsidR="0096742E" w:rsidRDefault="009F6C37">
      <w:r>
        <w:rPr>
          <w:rFonts w:eastAsia="Times New Roman"/>
          <w:b/>
          <w:bCs/>
          <w:color w:val="232323"/>
        </w:rPr>
        <w:t>Fifth</w:t>
      </w:r>
      <w:r>
        <w:rPr>
          <w:rFonts w:eastAsia="Times New Roman"/>
          <w:color w:val="232323"/>
        </w:rPr>
        <w:t>, it makes evaluation a first-class part of the system. The framework specifies how claims such as "more relevant," "better calibrated," or "improves preparation" can be tested, falsified, and, where necessary, withdrawn.</w:t>
      </w:r>
    </w:p>
    <w:p w14:paraId="73B7B744" w14:textId="77777777" w:rsidR="0096742E" w:rsidRDefault="009F6C37">
      <w:pPr>
        <w:pStyle w:val="Heading2"/>
        <w:rPr>
          <w:bCs/>
        </w:rPr>
      </w:pPr>
      <w:r>
        <w:t>1.5 Contributions</w:t>
      </w:r>
    </w:p>
    <w:p w14:paraId="095ED3E8" w14:textId="77777777" w:rsidR="0096742E" w:rsidRDefault="009F6C37">
      <w:r>
        <w:t>1. A structured Lens representation that treats contextual models as versioned, evidence-bounded hypotheses rather than claims of organizational truth.</w:t>
      </w:r>
    </w:p>
    <w:p w14:paraId="15F4323E" w14:textId="77777777" w:rsidR="0096742E" w:rsidRDefault="009F6C37">
      <w:r>
        <w:t>2. A routing architecture that selects the highest-specificity Lens satisfying applicability, authorization, freshness, and maturity constraints, with explicit fallback or abstention.</w:t>
      </w:r>
    </w:p>
    <w:p w14:paraId="54383406" w14:textId="77777777" w:rsidR="0096742E" w:rsidRDefault="009F6C37">
      <w:r>
        <w:lastRenderedPageBreak/>
        <w:t>3. A constrained DAG factorization for follow-up category selection, with compatibility masking that separates invalidity from rarity.</w:t>
      </w:r>
    </w:p>
    <w:p w14:paraId="0B30B4EB" w14:textId="77777777" w:rsidR="0096742E" w:rsidRDefault="009F6C37">
      <w:r>
        <w:t>4. A hierarchical Dirichlet formulation for partial pooling across generic, archetype, industry, and company contexts, paired with a dependency-free recursive plug-in shrinkage reference implementation whose uncertainty-propagation boundary is explicit.</w:t>
      </w:r>
    </w:p>
    <w:p w14:paraId="6699585C" w14:textId="0402A99F" w:rsidR="0096742E" w:rsidRDefault="00B315C2">
      <w:r>
        <w:t>5. A six-level backoff and routing decision distribution that exposes quantitative provenance and borrowed-context dependence; routing weights are policy weights, not posterior model probabilities.</w:t>
      </w:r>
    </w:p>
    <w:p w14:paraId="23DFBC15" w14:textId="165D9C0D" w:rsidR="0096742E" w:rsidRDefault="00B315C2">
      <w:r>
        <w:t>6. A calibration, claims-gating, and abstention protocol that distinguishes ordered practice priorities and evidential support from probability estimates that may be released only after held-out validation.</w:t>
      </w:r>
    </w:p>
    <w:p w14:paraId="593F325E" w14:textId="77777777" w:rsidR="0096742E" w:rsidRDefault="009F6C37">
      <w:r>
        <w:t>7. A governance-by-design position that separates authorization from evidence quality, candidate-state adaptation from organization-level evidence, and authentic coaching from fabrication or employer reverse engineering.</w:t>
      </w:r>
    </w:p>
    <w:p w14:paraId="687C1796" w14:textId="77777777" w:rsidR="0096742E" w:rsidRDefault="009F6C37">
      <w:r>
        <w:t>8. An empirical evaluation protocol specifying research questions, data rights, labels, splits, baselines, metrics, claims gates, subgroup checks, and stopping rules.</w:t>
      </w:r>
    </w:p>
    <w:p w14:paraId="7BA1D4B8" w14:textId="77777777" w:rsidR="0096742E" w:rsidRDefault="009F6C37">
      <w:r>
        <w:t>9. A deployment-independent, open-source service boundary that separates the AIMS Lens Engine Core from client-specific identity, interaction, learning history, tenant configuration, and protected production data; Reference Integration A is treated as the first reference integration.</w:t>
      </w:r>
    </w:p>
    <w:p w14:paraId="0A6A8105" w14:textId="77777777" w:rsidR="0096742E" w:rsidRDefault="009F6C37">
      <w:r>
        <w:t>10. A reviewer-oriented reference artifact that maps Section 5 equations and public decision procedures to dependency-free executable code while separately identifying candidate-runtime integration, offline evaluation utilities, controlled experiments, and external empirical-validation status.</w:t>
      </w:r>
    </w:p>
    <w:p w14:paraId="32E45F21" w14:textId="24E6AB3E" w:rsidR="0096742E" w:rsidRDefault="00B315C2">
      <w:r>
        <w:t>11. A controlled and corrective verification bundle comprising seven end-to-end invariant cases, eleven Lens/role differentiation controls, three parameter-sensitivity studies, four controlled synthetic ablations, six candidate-answer semantic regression fixtures, four adversarial mathematical-alignment cases, a three-regime synthetic binary latent-parameter hierarchy-approximation benchmark, and a K=5 routing-shrinkage overlap ablation. These are controlled verification studies, not external validation; A1 (retrieval) and A5 (human explainability) remain unexecuted.</w:t>
      </w:r>
    </w:p>
    <w:p w14:paraId="5C655525" w14:textId="77777777" w:rsidR="0096742E" w:rsidRDefault="009F6C37">
      <w:pPr>
        <w:pStyle w:val="Heading2"/>
        <w:rPr>
          <w:bCs/>
        </w:rPr>
      </w:pPr>
      <w:r>
        <w:t>1.6 Organization</w:t>
      </w:r>
    </w:p>
    <w:p w14:paraId="368066E0" w14:textId="77777777" w:rsidR="0096742E" w:rsidRDefault="009F6C37">
      <w:r>
        <w:t>Section 2 positions the work in employment-interview research, AI interview simulation, and responsible AI. Section 3 defines the Lens representation and evidence lineage. Section 4 formalizes routing and follow-up generation. Section 5 presents dependency modeling and hierarchical inference. Section 6 states the governance-by-design and normative commitments. Section 7 specifies the external empirical evaluation protocol and reports controlled synthetic, sensitivity, ablation, and semantic-regression resul</w:t>
      </w:r>
      <w:r>
        <w:t>ts. Section 8 defines the open-system boundary and Reference Integration A reference integration. Section 9 addresses operational safeguards and societal risks. Section 10 discusses limitations and future research. Section 11 concludes. Supplementary Material provides detailed code listings, evaluation tables, an implementation flowchart, parameter rationale, repository-aligned reference-code excerpts, and a glossary.</w:t>
      </w:r>
    </w:p>
    <w:p w14:paraId="76F77191" w14:textId="77777777" w:rsidR="0096742E" w:rsidRDefault="009F6C37">
      <w:r>
        <w:rPr>
          <w:rFonts w:eastAsia="Times New Roman"/>
          <w:color w:val="232323"/>
        </w:rPr>
        <w:pict w14:anchorId="35A8E8FB">
          <v:rect id="_x0000_i1027" style="width:0;height:.75pt" o:hralign="center" o:hrstd="t" o:hr="t" fillcolor="#a0a0a0" stroked="f"/>
        </w:pict>
      </w:r>
    </w:p>
    <w:p w14:paraId="0DCCD1D9" w14:textId="77777777" w:rsidR="0096742E" w:rsidRDefault="009F6C37">
      <w:pPr>
        <w:pStyle w:val="Heading1"/>
        <w:rPr>
          <w:bCs/>
        </w:rPr>
      </w:pPr>
      <w:r>
        <w:rPr>
          <w:bCs/>
        </w:rPr>
        <w:t>2 Positioning and Related Work</w:t>
      </w:r>
    </w:p>
    <w:p w14:paraId="60517BDC" w14:textId="77777777" w:rsidR="0096742E" w:rsidRDefault="009F6C37">
      <w:pPr>
        <w:pStyle w:val="Heading2"/>
      </w:pPr>
      <w:r>
        <w:t>2.1 Structured Employment Interviews and Probing</w:t>
      </w:r>
    </w:p>
    <w:p w14:paraId="310987F5" w14:textId="77777777" w:rsidR="0096742E" w:rsidRDefault="009F6C37">
      <w:r>
        <w:t>Employment interviews are not unstructured conversations by default. Research on interview structure has long shown that standardizing question content, evaluation, and administration can improve psychometric properties [1]. Later reviews identify probing, follow-up, prompting, and elaboration as explicit components of the structured-interview research agenda [2], while reliability also varies with interview structure and format [3]. Recent experimental work in asynchronous video interviews further shows th</w:t>
      </w:r>
      <w:r>
        <w:t xml:space="preserve">at structured probes can influence applicants' opportunity-to-perform perceptions and performance ratings [4]. AIMS therefore does not claim novelty for the idea </w:t>
      </w:r>
      <w:r>
        <w:lastRenderedPageBreak/>
        <w:t>of asking follow-up questions. Its contribution concerns how a practice system selects and qualifies a follow-up category when contextual evidence is incomplete and differently authorized.</w:t>
      </w:r>
    </w:p>
    <w:p w14:paraId="55B17E18" w14:textId="77777777" w:rsidR="0096742E" w:rsidRDefault="009F6C37">
      <w:pPr>
        <w:pStyle w:val="Heading2"/>
      </w:pPr>
      <w:r>
        <w:t>2.2 Technology-Mediated Interviews and Candidate-Side Generative AI</w:t>
      </w:r>
    </w:p>
    <w:p w14:paraId="153F527C" w14:textId="77777777" w:rsidR="0096742E" w:rsidRDefault="009F6C37">
      <w:r>
        <w:t>Technology-mediated interviewing changes both applicant experience and the validity conditions of assessment. Highly automated interviews can produce different acceptance reactions depending on stakes and perceived process characteristics [5]. Generative AI introduces an additional challenge: in a preregistered asynchronous-video-interview experiment, candidates using ChatGPT-generated or personalized answers received substantially higher content and overall performance ratings, while honesty perceptions we</w:t>
      </w:r>
      <w:r>
        <w:t>re lower [6]. This makes authenticity a design concern for candidate-side coaching. AIMS is therefore framed as authenticity-preserving practice support: it should help candidates articulate and substantiate genuine experience, not generate fictitious ownership, metrics, or events.</w:t>
      </w:r>
    </w:p>
    <w:p w14:paraId="394C2AE0" w14:textId="77777777" w:rsidR="0096742E" w:rsidRDefault="009F6C37">
      <w:pPr>
        <w:pStyle w:val="Heading2"/>
      </w:pPr>
      <w:r>
        <w:t>2.3 AI-Based Interview Simulation and Training</w:t>
      </w:r>
    </w:p>
    <w:p w14:paraId="3A15A652" w14:textId="77777777" w:rsidR="0096742E" w:rsidRDefault="009F6C37">
      <w:r>
        <w:t>Recent systems demonstrate that generative AI can support scalable interview simulation. ITEM combines virtual-reality interaction with generative conversational AI and reports an evaluation with 83 students, including analyses of consistency and potential background-related scoring bias [7]. Such work establishes the feasibility and pedagogical relevance of AI-mediated practice. AIMS addresses a narrower upstream decision: before wording a next question, what follow-up category is sufficiently supported by</w:t>
      </w:r>
      <w:r>
        <w:t xml:space="preserve"> the available context, which evidence permits that specificity, and when should the system back off or abstain? This separation allows generation models to change without collapsing the evidence-governance layer into prompt behavior.</w:t>
      </w:r>
    </w:p>
    <w:p w14:paraId="6B9A748C" w14:textId="77777777" w:rsidR="0096742E" w:rsidRDefault="009F6C37">
      <w:r>
        <w:t xml:space="preserve">Recent studies also distinguish training benefit from user trust in the AI itself. Sarikose et al. report a quasi-experimental AI-guided interview simulation in nursing and midwifery students with gains in perceived employability but no significant reduction in interview anxiety [21]. In a job-interview-training context, Chu et al. show that merely describing an AI model as more sophisticated increased users' agreement with its outputs and willingness to apply them [20]. These findings make it important to </w:t>
      </w:r>
      <w:r>
        <w:t>separate pedagogical benefit, user confidence, and perceived model sophistication from evidence that a particular inference mechanism is valid. AIMS therefore treats mechanism verification, user benefit, and external validity as distinct claims.</w:t>
      </w:r>
    </w:p>
    <w:p w14:paraId="1F761A1E" w14:textId="77777777" w:rsidR="0096742E" w:rsidRDefault="009F6C37">
      <w:pPr>
        <w:pStyle w:val="Heading2"/>
      </w:pPr>
      <w:r>
        <w:t>2.4 Algorithmic HRM, Fairness, and Accountability</w:t>
      </w:r>
    </w:p>
    <w:p w14:paraId="10D4C319" w14:textId="77777777" w:rsidR="0096742E" w:rsidRDefault="009F6C37">
      <w:r>
        <w:t>Algorithmic decision-making in recruitment and HR development has raised persistent concerns about discrimination, perceived fairness, transparency, and accountability [8]. Audits of algorithmic hiring practices have also shown that vendor claims about bias mitigation can be difficult to evaluate without clear problem formulation, data lineage, and validation evidence [9]. More recent AI-HRM work argues for integrating technical, legal, and ethical considerations rather than treating them as independent sil</w:t>
      </w:r>
      <w:r>
        <w:t>os [10]. AIMS differs from employer-side hiring automation because it is designed as a candidate practice aid, but the same employment context makes evidential restraint, fairness monitoring, and transparent limitations ethically material.</w:t>
      </w:r>
    </w:p>
    <w:p w14:paraId="4D4D5386" w14:textId="77777777" w:rsidR="0096742E" w:rsidRDefault="009F6C37">
      <w:r>
        <w:t>Language and accent also require explicit restraint. A 2025 meta-analysis of employment-interview studies found systematic disadvantages for non-standard accents and attributed much of the effect to evaluator stereotypes rather than comprehensibility alone [22]. For candidate-side practice systems, this supports a design rule that surface language variation should not automatically substitute for capability evidence. The controlled semantic regression reported in Section 7 includes one non-native-English su</w:t>
      </w:r>
      <w:r>
        <w:t>rface-variation fixture to verify that the declared gate does not use that flag; this is a contract check, not a population-level fairness validation.</w:t>
      </w:r>
    </w:p>
    <w:p w14:paraId="2A8A136C" w14:textId="77777777" w:rsidR="0096742E" w:rsidRDefault="009F6C37">
      <w:pPr>
        <w:pStyle w:val="Heading2"/>
      </w:pPr>
      <w:r>
        <w:t>2.5 Ethics by Design and Operational Governance</w:t>
      </w:r>
    </w:p>
    <w:p w14:paraId="0E17E49D" w14:textId="77777777" w:rsidR="0096742E" w:rsidRDefault="009F6C37">
      <w:r>
        <w:t xml:space="preserve">Ethics-by-design research argues that ethical requirements should be translated into design-stage procedures rather than appended after deployment [11]. Production-oriented work similarly documents the difficulty of moving from abstract AI principles to concrete developer practices [12]. AIMS adopts this orientation by encoding permissions, expiry, maturity, compatibility, fallback, abstention, auditability, and data separation into the inference path. The </w:t>
      </w:r>
      <w:r>
        <w:lastRenderedPageBreak/>
        <w:t>ethical claim is therefore architectural: when evidence does not justify specificity, the system should technically prevent or qualify that specificity rather than rely only on a user-facing disclaimer.</w:t>
      </w:r>
    </w:p>
    <w:p w14:paraId="45AA0E5C" w14:textId="77777777" w:rsidR="0096742E" w:rsidRDefault="009F6C37">
      <w:pPr>
        <w:pStyle w:val="Heading2"/>
      </w:pPr>
      <w:r>
        <w:t>2.6 Persona, Dialogue, and Multi-Agent Simulation</w:t>
      </w:r>
    </w:p>
    <w:p w14:paraId="27F5C986" w14:textId="77777777" w:rsidR="0096742E" w:rsidRDefault="009F6C37">
      <w:r>
        <w:t>Persona-based and multi-agent systems illustrate several complementary ways to structure simulated users and interviewer dialogue. MatrAIx [13] provides population-scale simulated-user evaluation built around structured persona records and interactive environments. MirrorMind [15] is a dual-agent AI interview simulator, while RaPSIL [14] is a preference-guided interview agent designed to support rapport-aware self-disclosure. These systems are relevant to persona-conditioned interaction, interviewer behavio</w:t>
      </w:r>
      <w:r>
        <w:t>r, and dialogue strategy, but they do not by themselves establish the validity of predicting a particular employer's interview behavior from public or sparse evidence. AIMS therefore treats persona and dialogue behavior as downstream or complementary components of a bounded practice simulation.</w:t>
      </w:r>
    </w:p>
    <w:p w14:paraId="1B40D4F3" w14:textId="77777777" w:rsidR="0096742E" w:rsidRDefault="009F6C37">
      <w:pPr>
        <w:pStyle w:val="Heading2"/>
      </w:pPr>
      <w:r>
        <w:t>2.7 Uncertainty Quantification, Hierarchical Modeling, and Approximate Reference Inference</w:t>
      </w:r>
    </w:p>
    <w:p w14:paraId="21363BC1" w14:textId="77777777" w:rsidR="0096742E" w:rsidRDefault="009F6C37">
      <w:r>
        <w:t>The uncertainty component of AIMS draws on established probability scoring and calibration. Proper scoring rules such as the Brier score [16] and modern calibration methods [17] require observed outcomes against which probabilistic predictions can be evaluated; outputting a number between zero and one does not make a system calibrated. Hierarchical Bayesian models [18, 19] provide the statistical basis for partial pooling across company, industry, archetype, and generic levels. In the public dependency-free</w:t>
      </w:r>
      <w:r>
        <w:t xml:space="preserve"> artifact, however, the hierarchy is implemented as recursive plug-in Dirichlet shrinkage: each child level uses the parent posterior mean as a fixed prior distribution. This preserves an inspectable borrowing mechanism but does not propagate the full upper-level posterior uncertainty into downstream intervals.</w:t>
      </w:r>
    </w:p>
    <w:p w14:paraId="389F2DE9" w14:textId="77777777" w:rsidR="0096742E" w:rsidRDefault="009F6C37">
      <w:pPr>
        <w:pStyle w:val="Heading2"/>
      </w:pPr>
      <w:r>
        <w:t>2.8 Research Gap</w:t>
      </w:r>
    </w:p>
    <w:p w14:paraId="4DB11278" w14:textId="3017852C" w:rsidR="0096742E" w:rsidRDefault="00B315C2">
      <w:r>
        <w:t>Taken together, prior work addresses interview structure and probing, technology-mediated interviews, AI-assisted candidate behavior, interview simulation and training, user trust in AI feedback, accent-related interview bias, algorithmic HR fairness, ethics-by-design, conversational agents, and probabilistic calibration. The gap targeted here lies at their intersection: a practice engine designed for independent deployment that makes follow-up selection conditional on versioned evidence, exposes where contextual specificity was borrowed, separates hard authorization from statistical weighting, and couples uncertainty with governance rules that can force backoff or abstention. Version 1.5 adds adversarial mathematical-alignment verification, a scoped binary hierarchy-approximation benchmark, and a routing-shrinkage overlap ablation to the earlier controlled mechanism tests, while retaining the same external-validity boundary: it does not claim that AIMS predicts employer behavior, improves candidate outcomes, or eliminates population-level bias.</w:t>
      </w:r>
    </w:p>
    <w:p w14:paraId="69AA1740" w14:textId="77777777" w:rsidR="0096742E" w:rsidRDefault="009F6C37">
      <w:pPr>
        <w:pStyle w:val="Heading1"/>
        <w:rPr>
          <w:bCs/>
        </w:rPr>
      </w:pPr>
      <w:r>
        <w:rPr>
          <w:bCs/>
        </w:rPr>
        <w:t>3 Lens Representation and Evidence Lineage</w:t>
      </w:r>
    </w:p>
    <w:p w14:paraId="3D4AF4A0" w14:textId="77777777" w:rsidR="0096742E" w:rsidRDefault="009F6C37">
      <w:pPr>
        <w:pStyle w:val="Heading2"/>
        <w:rPr>
          <w:bCs/>
        </w:rPr>
      </w:pPr>
      <w:r>
        <w:rPr>
          <w:bCs/>
        </w:rPr>
        <w:t>3.1 Lens Types and Maturity</w:t>
      </w:r>
    </w:p>
    <w:p w14:paraId="7F977A0F" w14:textId="77777777" w:rsidR="0096742E" w:rsidRDefault="009F6C37">
      <w:r>
        <w:t>A Lens is a machine-readable, versioned, evidence-bounded hypothesis that defines the scope within which a follow-up strategy may be used. It is not a claim that an organization has a single stable interview style. Five Lens types support graceful fallback:</w:t>
      </w:r>
    </w:p>
    <w:p w14:paraId="1D1E62BB" w14:textId="77777777" w:rsidR="0096742E" w:rsidRDefault="009F6C37">
      <w:pPr>
        <w:pStyle w:val="TableCaption"/>
      </w:pPr>
      <w:r>
        <w:t>Table 1. Lens types, evidence requirements, and default support classes. Support classes govern release behavior; they are not probabilities of correctness.</w:t>
      </w:r>
    </w:p>
    <w:tbl>
      <w:tblPr>
        <w:tblW w:w="0" w:type="auto"/>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1372"/>
        <w:gridCol w:w="3018"/>
        <w:gridCol w:w="2475"/>
        <w:gridCol w:w="2294"/>
      </w:tblGrid>
      <w:tr w:rsidR="0096742E" w14:paraId="599FC47F"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71328CC7" w14:textId="77777777" w:rsidR="0096742E" w:rsidRDefault="009F6C37">
            <w:pPr>
              <w:keepNext/>
              <w:spacing w:after="30" w:line="240" w:lineRule="auto"/>
              <w:ind w:firstLine="0"/>
              <w:jc w:val="left"/>
            </w:pPr>
            <w:r>
              <w:rPr>
                <w:rFonts w:ascii="Arial" w:eastAsia="Arial" w:hAnsi="Arial"/>
                <w:b/>
                <w:color w:val="232D37"/>
                <w:sz w:val="16"/>
              </w:rPr>
              <w:t>Lens Type</w:t>
            </w:r>
          </w:p>
        </w:tc>
        <w:tc>
          <w:tcPr>
            <w:tcW w:w="0" w:type="auto"/>
            <w:tcBorders>
              <w:top w:val="nil"/>
            </w:tcBorders>
            <w:shd w:val="clear" w:color="auto" w:fill="DDE7F0"/>
            <w:tcMar>
              <w:top w:w="70" w:type="dxa"/>
              <w:left w:w="90" w:type="dxa"/>
              <w:bottom w:w="70" w:type="dxa"/>
              <w:right w:w="90" w:type="dxa"/>
            </w:tcMar>
            <w:vAlign w:val="center"/>
            <w:hideMark/>
          </w:tcPr>
          <w:p w14:paraId="3B4FADE5" w14:textId="77777777" w:rsidR="0096742E" w:rsidRDefault="009F6C37">
            <w:pPr>
              <w:spacing w:after="30" w:line="240" w:lineRule="auto"/>
              <w:ind w:firstLine="0"/>
              <w:jc w:val="left"/>
            </w:pPr>
            <w:r>
              <w:rPr>
                <w:rFonts w:ascii="Arial" w:eastAsia="Arial" w:hAnsi="Arial"/>
                <w:b/>
                <w:color w:val="232D37"/>
                <w:sz w:val="16"/>
              </w:rPr>
              <w:t>Scope</w:t>
            </w:r>
          </w:p>
        </w:tc>
        <w:tc>
          <w:tcPr>
            <w:tcW w:w="0" w:type="auto"/>
            <w:tcBorders>
              <w:top w:val="nil"/>
            </w:tcBorders>
            <w:shd w:val="clear" w:color="auto" w:fill="DDE7F0"/>
            <w:tcMar>
              <w:top w:w="70" w:type="dxa"/>
              <w:left w:w="90" w:type="dxa"/>
              <w:bottom w:w="70" w:type="dxa"/>
              <w:right w:w="90" w:type="dxa"/>
            </w:tcMar>
            <w:vAlign w:val="center"/>
            <w:hideMark/>
          </w:tcPr>
          <w:p w14:paraId="7ACF10EA" w14:textId="77777777" w:rsidR="0096742E" w:rsidRDefault="009F6C37">
            <w:pPr>
              <w:spacing w:after="30" w:line="240" w:lineRule="auto"/>
              <w:ind w:firstLine="0"/>
              <w:jc w:val="left"/>
            </w:pPr>
            <w:r>
              <w:rPr>
                <w:rFonts w:ascii="Arial" w:eastAsia="Arial" w:hAnsi="Arial"/>
                <w:b/>
                <w:color w:val="232D37"/>
                <w:sz w:val="16"/>
              </w:rPr>
              <w:t>Evidence Requirement</w:t>
            </w:r>
          </w:p>
        </w:tc>
        <w:tc>
          <w:tcPr>
            <w:tcW w:w="0" w:type="auto"/>
            <w:tcBorders>
              <w:top w:val="nil"/>
            </w:tcBorders>
            <w:shd w:val="clear" w:color="auto" w:fill="DDE7F0"/>
            <w:tcMar>
              <w:top w:w="70" w:type="dxa"/>
              <w:left w:w="90" w:type="dxa"/>
              <w:bottom w:w="70" w:type="dxa"/>
              <w:right w:w="90" w:type="dxa"/>
            </w:tcMar>
            <w:vAlign w:val="center"/>
            <w:hideMark/>
          </w:tcPr>
          <w:p w14:paraId="31BE714F" w14:textId="77777777" w:rsidR="0096742E" w:rsidRDefault="009F6C37">
            <w:r>
              <w:t>Default Support Class</w:t>
            </w:r>
          </w:p>
        </w:tc>
      </w:tr>
      <w:tr w:rsidR="0096742E" w14:paraId="211F8605" w14:textId="77777777">
        <w:trPr>
          <w:cantSplit/>
          <w:jc w:val="center"/>
        </w:trPr>
        <w:tc>
          <w:tcPr>
            <w:tcW w:w="0" w:type="auto"/>
            <w:tcMar>
              <w:top w:w="70" w:type="dxa"/>
              <w:left w:w="90" w:type="dxa"/>
              <w:bottom w:w="70" w:type="dxa"/>
              <w:right w:w="90" w:type="dxa"/>
            </w:tcMar>
            <w:vAlign w:val="center"/>
            <w:hideMark/>
          </w:tcPr>
          <w:p w14:paraId="61423272" w14:textId="77777777" w:rsidR="0096742E" w:rsidRDefault="009F6C37">
            <w:pPr>
              <w:spacing w:after="30" w:line="240" w:lineRule="auto"/>
              <w:ind w:firstLine="0"/>
              <w:jc w:val="left"/>
            </w:pPr>
            <w:r>
              <w:rPr>
                <w:rFonts w:ascii="Arial" w:eastAsia="Arial" w:hAnsi="Arial"/>
                <w:bCs/>
                <w:color w:val="232D37"/>
                <w:sz w:val="16"/>
              </w:rPr>
              <w:t>Company Lens</w:t>
            </w:r>
          </w:p>
        </w:tc>
        <w:tc>
          <w:tcPr>
            <w:tcW w:w="0" w:type="auto"/>
            <w:tcMar>
              <w:top w:w="70" w:type="dxa"/>
              <w:left w:w="90" w:type="dxa"/>
              <w:bottom w:w="70" w:type="dxa"/>
              <w:right w:w="90" w:type="dxa"/>
            </w:tcMar>
            <w:vAlign w:val="center"/>
            <w:hideMark/>
          </w:tcPr>
          <w:p w14:paraId="43963859" w14:textId="77777777" w:rsidR="0096742E" w:rsidRDefault="009F6C37">
            <w:pPr>
              <w:spacing w:after="30" w:line="240" w:lineRule="auto"/>
              <w:ind w:firstLine="0"/>
              <w:jc w:val="left"/>
            </w:pPr>
            <w:r>
              <w:rPr>
                <w:rFonts w:ascii="Arial" w:eastAsia="Arial" w:hAnsi="Arial"/>
                <w:color w:val="232D37"/>
                <w:sz w:val="16"/>
              </w:rPr>
              <w:t>Named organization or business unit</w:t>
            </w:r>
          </w:p>
        </w:tc>
        <w:tc>
          <w:tcPr>
            <w:tcW w:w="0" w:type="auto"/>
            <w:tcMar>
              <w:top w:w="70" w:type="dxa"/>
              <w:left w:w="90" w:type="dxa"/>
              <w:bottom w:w="70" w:type="dxa"/>
              <w:right w:w="90" w:type="dxa"/>
            </w:tcMar>
            <w:vAlign w:val="center"/>
            <w:hideMark/>
          </w:tcPr>
          <w:p w14:paraId="74FC8E9D" w14:textId="77777777" w:rsidR="0096742E" w:rsidRDefault="009F6C37">
            <w:pPr>
              <w:spacing w:after="30" w:line="240" w:lineRule="auto"/>
              <w:ind w:firstLine="0"/>
              <w:jc w:val="left"/>
            </w:pPr>
            <w:r>
              <w:rPr>
                <w:rFonts w:ascii="Arial" w:eastAsia="Arial" w:hAnsi="Arial"/>
                <w:color w:val="232D37"/>
                <w:sz w:val="16"/>
              </w:rPr>
              <w:t>Permitted, attributable, reviewed</w:t>
            </w:r>
          </w:p>
        </w:tc>
        <w:tc>
          <w:tcPr>
            <w:tcW w:w="0" w:type="auto"/>
            <w:tcMar>
              <w:top w:w="70" w:type="dxa"/>
              <w:left w:w="90" w:type="dxa"/>
              <w:bottom w:w="70" w:type="dxa"/>
              <w:right w:w="90" w:type="dxa"/>
            </w:tcMar>
            <w:vAlign w:val="center"/>
            <w:hideMark/>
          </w:tcPr>
          <w:p w14:paraId="720DA136" w14:textId="77777777" w:rsidR="0096742E" w:rsidRDefault="009F6C37">
            <w:r>
              <w:t>High</w:t>
            </w:r>
          </w:p>
        </w:tc>
      </w:tr>
      <w:tr w:rsidR="0096742E" w14:paraId="39F10467" w14:textId="77777777">
        <w:trPr>
          <w:cantSplit/>
          <w:jc w:val="center"/>
        </w:trPr>
        <w:tc>
          <w:tcPr>
            <w:tcW w:w="0" w:type="auto"/>
            <w:shd w:val="clear" w:color="auto" w:fill="F7F9FB"/>
            <w:tcMar>
              <w:top w:w="70" w:type="dxa"/>
              <w:left w:w="90" w:type="dxa"/>
              <w:bottom w:w="70" w:type="dxa"/>
              <w:right w:w="90" w:type="dxa"/>
            </w:tcMar>
            <w:vAlign w:val="center"/>
            <w:hideMark/>
          </w:tcPr>
          <w:p w14:paraId="516535E6" w14:textId="77777777" w:rsidR="0096742E" w:rsidRDefault="009F6C37">
            <w:pPr>
              <w:spacing w:after="30" w:line="240" w:lineRule="auto"/>
              <w:ind w:firstLine="0"/>
              <w:jc w:val="left"/>
            </w:pPr>
            <w:r>
              <w:rPr>
                <w:rFonts w:ascii="Arial" w:eastAsia="Arial" w:hAnsi="Arial"/>
                <w:bCs/>
                <w:color w:val="232D37"/>
                <w:sz w:val="16"/>
              </w:rPr>
              <w:lastRenderedPageBreak/>
              <w:t>Industry Lens</w:t>
            </w:r>
          </w:p>
        </w:tc>
        <w:tc>
          <w:tcPr>
            <w:tcW w:w="0" w:type="auto"/>
            <w:shd w:val="clear" w:color="auto" w:fill="F7F9FB"/>
            <w:tcMar>
              <w:top w:w="70" w:type="dxa"/>
              <w:left w:w="90" w:type="dxa"/>
              <w:bottom w:w="70" w:type="dxa"/>
              <w:right w:w="90" w:type="dxa"/>
            </w:tcMar>
            <w:vAlign w:val="center"/>
            <w:hideMark/>
          </w:tcPr>
          <w:p w14:paraId="32D1885B" w14:textId="77777777" w:rsidR="0096742E" w:rsidRDefault="009F6C37">
            <w:pPr>
              <w:spacing w:after="30" w:line="240" w:lineRule="auto"/>
              <w:ind w:firstLine="0"/>
              <w:jc w:val="left"/>
            </w:pPr>
            <w:r>
              <w:rPr>
                <w:rFonts w:ascii="Arial" w:eastAsia="Arial" w:hAnsi="Arial"/>
                <w:color w:val="232D37"/>
                <w:sz w:val="16"/>
              </w:rPr>
              <w:t>Role and sector</w:t>
            </w:r>
          </w:p>
        </w:tc>
        <w:tc>
          <w:tcPr>
            <w:tcW w:w="0" w:type="auto"/>
            <w:shd w:val="clear" w:color="auto" w:fill="F7F9FB"/>
            <w:tcMar>
              <w:top w:w="70" w:type="dxa"/>
              <w:left w:w="90" w:type="dxa"/>
              <w:bottom w:w="70" w:type="dxa"/>
              <w:right w:w="90" w:type="dxa"/>
            </w:tcMar>
            <w:vAlign w:val="center"/>
            <w:hideMark/>
          </w:tcPr>
          <w:p w14:paraId="2B68CFB2" w14:textId="77777777" w:rsidR="0096742E" w:rsidRDefault="009F6C37">
            <w:pPr>
              <w:spacing w:after="30" w:line="240" w:lineRule="auto"/>
              <w:ind w:firstLine="0"/>
              <w:jc w:val="left"/>
            </w:pPr>
            <w:r>
              <w:rPr>
                <w:rFonts w:ascii="Arial" w:eastAsia="Arial" w:hAnsi="Arial"/>
                <w:color w:val="232D37"/>
                <w:sz w:val="16"/>
              </w:rPr>
              <w:t>Sector-level evidence</w:t>
            </w:r>
          </w:p>
        </w:tc>
        <w:tc>
          <w:tcPr>
            <w:tcW w:w="0" w:type="auto"/>
            <w:shd w:val="clear" w:color="auto" w:fill="F7F9FB"/>
            <w:tcMar>
              <w:top w:w="70" w:type="dxa"/>
              <w:left w:w="90" w:type="dxa"/>
              <w:bottom w:w="70" w:type="dxa"/>
              <w:right w:w="90" w:type="dxa"/>
            </w:tcMar>
            <w:vAlign w:val="center"/>
            <w:hideMark/>
          </w:tcPr>
          <w:p w14:paraId="0FEE99B1" w14:textId="77777777" w:rsidR="0096742E" w:rsidRDefault="009F6C37">
            <w:r>
              <w:t>Moderate</w:t>
            </w:r>
          </w:p>
        </w:tc>
      </w:tr>
      <w:tr w:rsidR="0096742E" w14:paraId="00A8478F" w14:textId="77777777">
        <w:trPr>
          <w:cantSplit/>
          <w:jc w:val="center"/>
        </w:trPr>
        <w:tc>
          <w:tcPr>
            <w:tcW w:w="0" w:type="auto"/>
            <w:tcMar>
              <w:top w:w="70" w:type="dxa"/>
              <w:left w:w="90" w:type="dxa"/>
              <w:bottom w:w="70" w:type="dxa"/>
              <w:right w:w="90" w:type="dxa"/>
            </w:tcMar>
            <w:vAlign w:val="center"/>
            <w:hideMark/>
          </w:tcPr>
          <w:p w14:paraId="6E42BADB" w14:textId="77777777" w:rsidR="0096742E" w:rsidRDefault="009F6C37">
            <w:pPr>
              <w:spacing w:after="30" w:line="240" w:lineRule="auto"/>
              <w:ind w:firstLine="0"/>
              <w:jc w:val="left"/>
            </w:pPr>
            <w:r>
              <w:rPr>
                <w:rFonts w:ascii="Arial" w:eastAsia="Arial" w:hAnsi="Arial"/>
                <w:bCs/>
                <w:color w:val="232D37"/>
                <w:sz w:val="16"/>
              </w:rPr>
              <w:t>Derived Lens</w:t>
            </w:r>
          </w:p>
        </w:tc>
        <w:tc>
          <w:tcPr>
            <w:tcW w:w="0" w:type="auto"/>
            <w:tcMar>
              <w:top w:w="70" w:type="dxa"/>
              <w:left w:w="90" w:type="dxa"/>
              <w:bottom w:w="70" w:type="dxa"/>
              <w:right w:w="90" w:type="dxa"/>
            </w:tcMar>
            <w:vAlign w:val="center"/>
            <w:hideMark/>
          </w:tcPr>
          <w:p w14:paraId="110762CA" w14:textId="77777777" w:rsidR="0096742E" w:rsidRDefault="009F6C37">
            <w:pPr>
              <w:spacing w:after="30" w:line="240" w:lineRule="auto"/>
              <w:ind w:firstLine="0"/>
              <w:jc w:val="left"/>
            </w:pPr>
            <w:r>
              <w:rPr>
                <w:rFonts w:ascii="Arial" w:eastAsia="Arial" w:hAnsi="Arial"/>
                <w:color w:val="232D37"/>
                <w:sz w:val="16"/>
              </w:rPr>
              <w:t>Composition of approved parent Lenses</w:t>
            </w:r>
          </w:p>
        </w:tc>
        <w:tc>
          <w:tcPr>
            <w:tcW w:w="0" w:type="auto"/>
            <w:tcMar>
              <w:top w:w="70" w:type="dxa"/>
              <w:left w:w="90" w:type="dxa"/>
              <w:bottom w:w="70" w:type="dxa"/>
              <w:right w:w="90" w:type="dxa"/>
            </w:tcMar>
            <w:vAlign w:val="center"/>
            <w:hideMark/>
          </w:tcPr>
          <w:p w14:paraId="6365A357" w14:textId="77777777" w:rsidR="0096742E" w:rsidRDefault="009F6C37">
            <w:pPr>
              <w:spacing w:after="30" w:line="240" w:lineRule="auto"/>
              <w:ind w:firstLine="0"/>
              <w:jc w:val="left"/>
            </w:pPr>
            <w:r>
              <w:rPr>
                <w:rFonts w:ascii="Arial" w:eastAsia="Arial" w:hAnsi="Arial"/>
                <w:color w:val="232D37"/>
                <w:sz w:val="16"/>
              </w:rPr>
              <w:t>Explicit composition rules</w:t>
            </w:r>
          </w:p>
        </w:tc>
        <w:tc>
          <w:tcPr>
            <w:tcW w:w="0" w:type="auto"/>
            <w:tcMar>
              <w:top w:w="70" w:type="dxa"/>
              <w:left w:w="90" w:type="dxa"/>
              <w:bottom w:w="70" w:type="dxa"/>
              <w:right w:w="90" w:type="dxa"/>
            </w:tcMar>
            <w:vAlign w:val="center"/>
            <w:hideMark/>
          </w:tcPr>
          <w:p w14:paraId="4F8AE58E" w14:textId="77777777" w:rsidR="0096742E" w:rsidRDefault="009F6C37">
            <w:r>
              <w:t>Moderate-high</w:t>
            </w:r>
          </w:p>
        </w:tc>
      </w:tr>
      <w:tr w:rsidR="0096742E" w14:paraId="6D2501CE" w14:textId="77777777">
        <w:trPr>
          <w:cantSplit/>
          <w:jc w:val="center"/>
        </w:trPr>
        <w:tc>
          <w:tcPr>
            <w:tcW w:w="0" w:type="auto"/>
            <w:shd w:val="clear" w:color="auto" w:fill="F7F9FB"/>
            <w:tcMar>
              <w:top w:w="70" w:type="dxa"/>
              <w:left w:w="90" w:type="dxa"/>
              <w:bottom w:w="70" w:type="dxa"/>
              <w:right w:w="90" w:type="dxa"/>
            </w:tcMar>
            <w:vAlign w:val="center"/>
            <w:hideMark/>
          </w:tcPr>
          <w:p w14:paraId="52CDE681" w14:textId="77777777" w:rsidR="0096742E" w:rsidRDefault="009F6C37">
            <w:pPr>
              <w:spacing w:after="30" w:line="240" w:lineRule="auto"/>
              <w:ind w:firstLine="0"/>
              <w:jc w:val="left"/>
            </w:pPr>
            <w:r>
              <w:rPr>
                <w:rFonts w:ascii="Arial" w:eastAsia="Arial" w:hAnsi="Arial"/>
                <w:bCs/>
                <w:color w:val="232D37"/>
                <w:sz w:val="16"/>
              </w:rPr>
              <w:t>Archetype Lens</w:t>
            </w:r>
          </w:p>
        </w:tc>
        <w:tc>
          <w:tcPr>
            <w:tcW w:w="0" w:type="auto"/>
            <w:shd w:val="clear" w:color="auto" w:fill="F7F9FB"/>
            <w:tcMar>
              <w:top w:w="70" w:type="dxa"/>
              <w:left w:w="90" w:type="dxa"/>
              <w:bottom w:w="70" w:type="dxa"/>
              <w:right w:w="90" w:type="dxa"/>
            </w:tcMar>
            <w:vAlign w:val="center"/>
            <w:hideMark/>
          </w:tcPr>
          <w:p w14:paraId="4010CD7D" w14:textId="77777777" w:rsidR="0096742E" w:rsidRDefault="009F6C37">
            <w:pPr>
              <w:spacing w:after="30" w:line="240" w:lineRule="auto"/>
              <w:ind w:firstLine="0"/>
              <w:jc w:val="left"/>
            </w:pPr>
            <w:r>
              <w:rPr>
                <w:rFonts w:ascii="Arial" w:eastAsia="Arial" w:hAnsi="Arial"/>
                <w:color w:val="232D37"/>
                <w:sz w:val="16"/>
              </w:rPr>
              <w:t>Company size/stage/culture</w:t>
            </w:r>
          </w:p>
        </w:tc>
        <w:tc>
          <w:tcPr>
            <w:tcW w:w="0" w:type="auto"/>
            <w:shd w:val="clear" w:color="auto" w:fill="F7F9FB"/>
            <w:tcMar>
              <w:top w:w="70" w:type="dxa"/>
              <w:left w:w="90" w:type="dxa"/>
              <w:bottom w:w="70" w:type="dxa"/>
              <w:right w:w="90" w:type="dxa"/>
            </w:tcMar>
            <w:vAlign w:val="center"/>
            <w:hideMark/>
          </w:tcPr>
          <w:p w14:paraId="5FA8058E" w14:textId="77777777" w:rsidR="0096742E" w:rsidRDefault="009F6C37">
            <w:pPr>
              <w:spacing w:after="30" w:line="240" w:lineRule="auto"/>
              <w:ind w:firstLine="0"/>
              <w:jc w:val="left"/>
            </w:pPr>
            <w:r>
              <w:rPr>
                <w:rFonts w:ascii="Arial" w:eastAsia="Arial" w:hAnsi="Arial"/>
                <w:color w:val="232D37"/>
                <w:sz w:val="16"/>
              </w:rPr>
              <w:t>Archetype-level evidence</w:t>
            </w:r>
          </w:p>
        </w:tc>
        <w:tc>
          <w:tcPr>
            <w:tcW w:w="0" w:type="auto"/>
            <w:shd w:val="clear" w:color="auto" w:fill="F7F9FB"/>
            <w:tcMar>
              <w:top w:w="70" w:type="dxa"/>
              <w:left w:w="90" w:type="dxa"/>
              <w:bottom w:w="70" w:type="dxa"/>
              <w:right w:w="90" w:type="dxa"/>
            </w:tcMar>
            <w:vAlign w:val="center"/>
            <w:hideMark/>
          </w:tcPr>
          <w:p w14:paraId="1E9552A7" w14:textId="77777777" w:rsidR="0096742E" w:rsidRDefault="009F6C37">
            <w:r>
              <w:t>Low-moderate</w:t>
            </w:r>
          </w:p>
        </w:tc>
      </w:tr>
      <w:tr w:rsidR="0096742E" w14:paraId="6C04BDA6" w14:textId="77777777">
        <w:trPr>
          <w:cantSplit/>
          <w:jc w:val="center"/>
        </w:trPr>
        <w:tc>
          <w:tcPr>
            <w:tcW w:w="0" w:type="auto"/>
            <w:tcMar>
              <w:top w:w="70" w:type="dxa"/>
              <w:left w:w="90" w:type="dxa"/>
              <w:bottom w:w="70" w:type="dxa"/>
              <w:right w:w="90" w:type="dxa"/>
            </w:tcMar>
            <w:vAlign w:val="center"/>
            <w:hideMark/>
          </w:tcPr>
          <w:p w14:paraId="3FC32B54" w14:textId="77777777" w:rsidR="0096742E" w:rsidRDefault="009F6C37">
            <w:pPr>
              <w:spacing w:after="30" w:line="240" w:lineRule="auto"/>
              <w:ind w:firstLine="0"/>
              <w:jc w:val="left"/>
            </w:pPr>
            <w:r>
              <w:rPr>
                <w:rFonts w:ascii="Arial" w:eastAsia="Arial" w:hAnsi="Arial"/>
                <w:bCs/>
                <w:color w:val="232D37"/>
                <w:sz w:val="16"/>
              </w:rPr>
              <w:t>General Practice</w:t>
            </w:r>
          </w:p>
        </w:tc>
        <w:tc>
          <w:tcPr>
            <w:tcW w:w="0" w:type="auto"/>
            <w:tcMar>
              <w:top w:w="70" w:type="dxa"/>
              <w:left w:w="90" w:type="dxa"/>
              <w:bottom w:w="70" w:type="dxa"/>
              <w:right w:w="90" w:type="dxa"/>
            </w:tcMar>
            <w:vAlign w:val="center"/>
            <w:hideMark/>
          </w:tcPr>
          <w:p w14:paraId="3D621A25" w14:textId="77777777" w:rsidR="0096742E" w:rsidRDefault="009F6C37">
            <w:pPr>
              <w:spacing w:after="30" w:line="240" w:lineRule="auto"/>
              <w:ind w:firstLine="0"/>
              <w:jc w:val="left"/>
            </w:pPr>
            <w:r>
              <w:rPr>
                <w:rFonts w:ascii="Arial" w:eastAsia="Arial" w:hAnsi="Arial"/>
                <w:color w:val="232D37"/>
                <w:sz w:val="16"/>
              </w:rPr>
              <w:t>No contextual Lens</w:t>
            </w:r>
          </w:p>
        </w:tc>
        <w:tc>
          <w:tcPr>
            <w:tcW w:w="0" w:type="auto"/>
            <w:tcMar>
              <w:top w:w="70" w:type="dxa"/>
              <w:left w:w="90" w:type="dxa"/>
              <w:bottom w:w="70" w:type="dxa"/>
              <w:right w:w="90" w:type="dxa"/>
            </w:tcMar>
            <w:vAlign w:val="center"/>
            <w:hideMark/>
          </w:tcPr>
          <w:p w14:paraId="7791D51B" w14:textId="77777777" w:rsidR="0096742E" w:rsidRDefault="009F6C37">
            <w:pPr>
              <w:spacing w:after="30" w:line="240" w:lineRule="auto"/>
              <w:ind w:firstLine="0"/>
              <w:jc w:val="left"/>
            </w:pPr>
            <w:r>
              <w:rPr>
                <w:rFonts w:ascii="Arial" w:eastAsia="Arial" w:hAnsi="Arial"/>
                <w:color w:val="232D37"/>
                <w:sz w:val="16"/>
              </w:rPr>
              <w:t>None</w:t>
            </w:r>
          </w:p>
        </w:tc>
        <w:tc>
          <w:tcPr>
            <w:tcW w:w="0" w:type="auto"/>
            <w:tcMar>
              <w:top w:w="70" w:type="dxa"/>
              <w:left w:w="90" w:type="dxa"/>
              <w:bottom w:w="70" w:type="dxa"/>
              <w:right w:w="90" w:type="dxa"/>
            </w:tcMar>
            <w:vAlign w:val="center"/>
            <w:hideMark/>
          </w:tcPr>
          <w:p w14:paraId="619090E1" w14:textId="77777777" w:rsidR="0096742E" w:rsidRDefault="009F6C37">
            <w:r>
              <w:t>Low</w:t>
            </w:r>
          </w:p>
        </w:tc>
      </w:tr>
    </w:tbl>
    <w:p w14:paraId="0CEC7A00" w14:textId="77777777" w:rsidR="0096742E" w:rsidRDefault="009F6C37">
      <w:r>
        <w:rPr>
          <w:rFonts w:eastAsia="Times New Roman"/>
          <w:color w:val="232323"/>
        </w:rPr>
        <w:t>Each Lens also has an </w:t>
      </w:r>
      <w:r>
        <w:rPr>
          <w:rFonts w:eastAsia="Times New Roman"/>
          <w:b/>
          <w:bCs/>
          <w:color w:val="232323"/>
        </w:rPr>
        <w:t>evidence maturity label</w:t>
      </w:r>
      <w:r>
        <w:rPr>
          <w:rFonts w:eastAsia="Times New Roman"/>
          <w:color w:val="232323"/>
        </w:rPr>
        <w:t>:</w:t>
      </w:r>
    </w:p>
    <w:p w14:paraId="0212FB22" w14:textId="77777777" w:rsidR="0096742E" w:rsidRDefault="009F6C37">
      <w:pPr>
        <w:pStyle w:val="TableCaption"/>
      </w:pPr>
      <w:r>
        <w:t>Table 2. Evidence maturity levels and permitted outputs.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2116"/>
        <w:gridCol w:w="2941"/>
        <w:gridCol w:w="6224"/>
      </w:tblGrid>
      <w:tr w:rsidR="0096742E" w14:paraId="1DF5BA73"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67110CAB" w14:textId="77777777" w:rsidR="0096742E" w:rsidRDefault="009F6C37">
            <w:pPr>
              <w:keepNext/>
              <w:spacing w:after="30" w:line="240" w:lineRule="auto"/>
              <w:ind w:firstLine="0"/>
              <w:jc w:val="left"/>
            </w:pPr>
            <w:r>
              <w:rPr>
                <w:rFonts w:ascii="Arial" w:eastAsia="Arial" w:hAnsi="Arial"/>
                <w:b/>
                <w:color w:val="232D37"/>
                <w:sz w:val="16"/>
              </w:rPr>
              <w:t>Maturity</w:t>
            </w:r>
          </w:p>
        </w:tc>
        <w:tc>
          <w:tcPr>
            <w:tcW w:w="0" w:type="auto"/>
            <w:tcBorders>
              <w:top w:val="nil"/>
            </w:tcBorders>
            <w:shd w:val="clear" w:color="auto" w:fill="DDE7F0"/>
            <w:tcMar>
              <w:top w:w="70" w:type="dxa"/>
              <w:left w:w="90" w:type="dxa"/>
              <w:bottom w:w="70" w:type="dxa"/>
              <w:right w:w="90" w:type="dxa"/>
            </w:tcMar>
            <w:vAlign w:val="center"/>
            <w:hideMark/>
          </w:tcPr>
          <w:p w14:paraId="141FDE94" w14:textId="77777777" w:rsidR="0096742E" w:rsidRDefault="009F6C37">
            <w:pPr>
              <w:spacing w:after="30" w:line="240" w:lineRule="auto"/>
              <w:ind w:firstLine="0"/>
              <w:jc w:val="left"/>
            </w:pPr>
            <w:r>
              <w:rPr>
                <w:rFonts w:ascii="Arial" w:eastAsia="Arial" w:hAnsi="Arial"/>
                <w:b/>
                <w:color w:val="232D37"/>
                <w:sz w:val="16"/>
              </w:rPr>
              <w:t>Definition</w:t>
            </w:r>
          </w:p>
        </w:tc>
        <w:tc>
          <w:tcPr>
            <w:tcW w:w="0" w:type="auto"/>
            <w:tcBorders>
              <w:top w:val="nil"/>
            </w:tcBorders>
            <w:shd w:val="clear" w:color="auto" w:fill="DDE7F0"/>
            <w:tcMar>
              <w:top w:w="70" w:type="dxa"/>
              <w:left w:w="90" w:type="dxa"/>
              <w:bottom w:w="70" w:type="dxa"/>
              <w:right w:w="90" w:type="dxa"/>
            </w:tcMar>
            <w:vAlign w:val="center"/>
            <w:hideMark/>
          </w:tcPr>
          <w:p w14:paraId="25AAA12B" w14:textId="77777777" w:rsidR="0096742E" w:rsidRDefault="009F6C37">
            <w:pPr>
              <w:spacing w:after="30" w:line="240" w:lineRule="auto"/>
              <w:ind w:firstLine="0"/>
              <w:jc w:val="left"/>
            </w:pPr>
            <w:r>
              <w:rPr>
                <w:rFonts w:ascii="Arial" w:eastAsia="Arial" w:hAnsi="Arial"/>
                <w:b/>
                <w:color w:val="232D37"/>
                <w:sz w:val="16"/>
              </w:rPr>
              <w:t>Permitted Output</w:t>
            </w:r>
          </w:p>
        </w:tc>
      </w:tr>
      <w:tr w:rsidR="0096742E" w14:paraId="7BECDEC5" w14:textId="77777777">
        <w:trPr>
          <w:cantSplit/>
          <w:jc w:val="center"/>
        </w:trPr>
        <w:tc>
          <w:tcPr>
            <w:tcW w:w="0" w:type="auto"/>
            <w:tcMar>
              <w:top w:w="70" w:type="dxa"/>
              <w:left w:w="90" w:type="dxa"/>
              <w:bottom w:w="70" w:type="dxa"/>
              <w:right w:w="90" w:type="dxa"/>
            </w:tcMar>
            <w:vAlign w:val="center"/>
            <w:hideMark/>
          </w:tcPr>
          <w:p w14:paraId="76FEA0B8" w14:textId="77777777" w:rsidR="0096742E" w:rsidRDefault="009F6C37">
            <w:pPr>
              <w:spacing w:after="30" w:line="240" w:lineRule="auto"/>
              <w:ind w:firstLine="0"/>
              <w:jc w:val="left"/>
            </w:pPr>
            <w:r>
              <w:rPr>
                <w:rFonts w:ascii="Arial" w:eastAsia="Arial" w:hAnsi="Arial"/>
                <w:bCs/>
                <w:color w:val="232D37"/>
                <w:sz w:val="16"/>
              </w:rPr>
              <w:t>Exploratory</w:t>
            </w:r>
          </w:p>
        </w:tc>
        <w:tc>
          <w:tcPr>
            <w:tcW w:w="0" w:type="auto"/>
            <w:tcMar>
              <w:top w:w="70" w:type="dxa"/>
              <w:left w:w="90" w:type="dxa"/>
              <w:bottom w:w="70" w:type="dxa"/>
              <w:right w:w="90" w:type="dxa"/>
            </w:tcMar>
            <w:vAlign w:val="center"/>
            <w:hideMark/>
          </w:tcPr>
          <w:p w14:paraId="2168B5F8" w14:textId="77777777" w:rsidR="0096742E" w:rsidRDefault="009F6C37">
            <w:pPr>
              <w:spacing w:after="30" w:line="240" w:lineRule="auto"/>
              <w:ind w:firstLine="0"/>
              <w:jc w:val="left"/>
            </w:pPr>
            <w:r>
              <w:rPr>
                <w:rFonts w:ascii="Arial" w:eastAsia="Arial" w:hAnsi="Arial"/>
                <w:color w:val="232D37"/>
                <w:sz w:val="16"/>
              </w:rPr>
              <w:t>Initial evidence collection</w:t>
            </w:r>
          </w:p>
        </w:tc>
        <w:tc>
          <w:tcPr>
            <w:tcW w:w="0" w:type="auto"/>
            <w:tcMar>
              <w:top w:w="70" w:type="dxa"/>
              <w:left w:w="90" w:type="dxa"/>
              <w:bottom w:w="70" w:type="dxa"/>
              <w:right w:w="90" w:type="dxa"/>
            </w:tcMar>
            <w:vAlign w:val="center"/>
            <w:hideMark/>
          </w:tcPr>
          <w:p w14:paraId="4919C023" w14:textId="77777777" w:rsidR="0096742E" w:rsidRDefault="009F6C37">
            <w:pPr>
              <w:spacing w:after="30" w:line="240" w:lineRule="auto"/>
              <w:ind w:firstLine="0"/>
              <w:jc w:val="left"/>
            </w:pPr>
            <w:r>
              <w:rPr>
                <w:rFonts w:ascii="Arial" w:eastAsia="Arial" w:hAnsi="Arial"/>
                <w:color w:val="232D37"/>
                <w:sz w:val="16"/>
              </w:rPr>
              <w:t>Internal only</w:t>
            </w:r>
          </w:p>
        </w:tc>
      </w:tr>
      <w:tr w:rsidR="0096742E" w14:paraId="54FE7A25" w14:textId="77777777">
        <w:trPr>
          <w:cantSplit/>
          <w:jc w:val="center"/>
        </w:trPr>
        <w:tc>
          <w:tcPr>
            <w:tcW w:w="0" w:type="auto"/>
            <w:shd w:val="clear" w:color="auto" w:fill="F7F9FB"/>
            <w:tcMar>
              <w:top w:w="70" w:type="dxa"/>
              <w:left w:w="90" w:type="dxa"/>
              <w:bottom w:w="70" w:type="dxa"/>
              <w:right w:w="90" w:type="dxa"/>
            </w:tcMar>
            <w:vAlign w:val="center"/>
            <w:hideMark/>
          </w:tcPr>
          <w:p w14:paraId="492B2686" w14:textId="77777777" w:rsidR="0096742E" w:rsidRDefault="009F6C37">
            <w:pPr>
              <w:spacing w:after="30" w:line="240" w:lineRule="auto"/>
              <w:ind w:firstLine="0"/>
              <w:jc w:val="left"/>
            </w:pPr>
            <w:r>
              <w:rPr>
                <w:rFonts w:ascii="Arial" w:eastAsia="Arial" w:hAnsi="Arial"/>
                <w:bCs/>
                <w:color w:val="232D37"/>
                <w:sz w:val="16"/>
              </w:rPr>
              <w:t>Reviewed-Practice</w:t>
            </w:r>
          </w:p>
        </w:tc>
        <w:tc>
          <w:tcPr>
            <w:tcW w:w="0" w:type="auto"/>
            <w:shd w:val="clear" w:color="auto" w:fill="F7F9FB"/>
            <w:tcMar>
              <w:top w:w="70" w:type="dxa"/>
              <w:left w:w="90" w:type="dxa"/>
              <w:bottom w:w="70" w:type="dxa"/>
              <w:right w:w="90" w:type="dxa"/>
            </w:tcMar>
            <w:vAlign w:val="center"/>
            <w:hideMark/>
          </w:tcPr>
          <w:p w14:paraId="1771BF5E" w14:textId="77777777" w:rsidR="0096742E" w:rsidRDefault="009F6C37">
            <w:pPr>
              <w:spacing w:after="30" w:line="240" w:lineRule="auto"/>
              <w:ind w:firstLine="0"/>
              <w:jc w:val="left"/>
            </w:pPr>
            <w:r>
              <w:rPr>
                <w:rFonts w:ascii="Arial" w:eastAsia="Arial" w:hAnsi="Arial"/>
                <w:color w:val="232D37"/>
                <w:sz w:val="16"/>
              </w:rPr>
              <w:t>Human-reviewed, limited scope</w:t>
            </w:r>
          </w:p>
        </w:tc>
        <w:tc>
          <w:tcPr>
            <w:tcW w:w="0" w:type="auto"/>
            <w:shd w:val="clear" w:color="auto" w:fill="F7F9FB"/>
            <w:tcMar>
              <w:top w:w="70" w:type="dxa"/>
              <w:left w:w="90" w:type="dxa"/>
              <w:bottom w:w="70" w:type="dxa"/>
              <w:right w:w="90" w:type="dxa"/>
            </w:tcMar>
            <w:vAlign w:val="center"/>
            <w:hideMark/>
          </w:tcPr>
          <w:p w14:paraId="01C74714" w14:textId="77777777" w:rsidR="0096742E" w:rsidRDefault="009F6C37">
            <w:pPr>
              <w:spacing w:after="30" w:line="240" w:lineRule="auto"/>
              <w:ind w:firstLine="0"/>
              <w:jc w:val="left"/>
            </w:pPr>
            <w:r>
              <w:rPr>
                <w:rFonts w:ascii="Arial" w:eastAsia="Arial" w:hAnsi="Arial"/>
                <w:color w:val="232D37"/>
                <w:sz w:val="16"/>
              </w:rPr>
              <w:t>Ordered practice priorities</w:t>
            </w:r>
          </w:p>
        </w:tc>
      </w:tr>
      <w:tr w:rsidR="0096742E" w14:paraId="4FB90389" w14:textId="77777777">
        <w:trPr>
          <w:cantSplit/>
          <w:jc w:val="center"/>
        </w:trPr>
        <w:tc>
          <w:tcPr>
            <w:tcW w:w="0" w:type="auto"/>
            <w:tcMar>
              <w:top w:w="70" w:type="dxa"/>
              <w:left w:w="90" w:type="dxa"/>
              <w:bottom w:w="70" w:type="dxa"/>
              <w:right w:w="90" w:type="dxa"/>
            </w:tcMar>
            <w:vAlign w:val="center"/>
            <w:hideMark/>
          </w:tcPr>
          <w:p w14:paraId="41A0B9E8" w14:textId="77777777" w:rsidR="0096742E" w:rsidRDefault="009F6C37">
            <w:pPr>
              <w:spacing w:after="30" w:line="240" w:lineRule="auto"/>
              <w:ind w:firstLine="0"/>
              <w:jc w:val="left"/>
            </w:pPr>
            <w:r>
              <w:rPr>
                <w:rFonts w:ascii="Arial" w:eastAsia="Arial" w:hAnsi="Arial"/>
                <w:bCs/>
                <w:color w:val="232D37"/>
                <w:sz w:val="16"/>
              </w:rPr>
              <w:t>Evaluation-Ready</w:t>
            </w:r>
          </w:p>
        </w:tc>
        <w:tc>
          <w:tcPr>
            <w:tcW w:w="0" w:type="auto"/>
            <w:tcMar>
              <w:top w:w="70" w:type="dxa"/>
              <w:left w:w="90" w:type="dxa"/>
              <w:bottom w:w="70" w:type="dxa"/>
              <w:right w:w="90" w:type="dxa"/>
            </w:tcMar>
            <w:vAlign w:val="center"/>
            <w:hideMark/>
          </w:tcPr>
          <w:p w14:paraId="4E08C94E" w14:textId="77777777" w:rsidR="0096742E" w:rsidRDefault="009F6C37">
            <w:pPr>
              <w:spacing w:after="30" w:line="240" w:lineRule="auto"/>
              <w:ind w:firstLine="0"/>
              <w:jc w:val="left"/>
            </w:pPr>
            <w:r>
              <w:rPr>
                <w:rFonts w:ascii="Arial" w:eastAsia="Arial" w:hAnsi="Arial"/>
                <w:color w:val="232D37"/>
                <w:sz w:val="16"/>
              </w:rPr>
              <w:t>Validated on held-out data</w:t>
            </w:r>
          </w:p>
        </w:tc>
        <w:tc>
          <w:tcPr>
            <w:tcW w:w="0" w:type="auto"/>
            <w:tcMar>
              <w:top w:w="70" w:type="dxa"/>
              <w:left w:w="90" w:type="dxa"/>
              <w:bottom w:w="70" w:type="dxa"/>
              <w:right w:w="90" w:type="dxa"/>
            </w:tcMar>
            <w:vAlign w:val="center"/>
            <w:hideMark/>
          </w:tcPr>
          <w:p w14:paraId="421F8EE0" w14:textId="77777777" w:rsidR="0096742E" w:rsidRDefault="009F6C37">
            <w:pPr>
              <w:spacing w:after="30" w:line="240" w:lineRule="auto"/>
              <w:ind w:firstLine="0"/>
              <w:jc w:val="left"/>
            </w:pPr>
            <w:r>
              <w:rPr>
                <w:rFonts w:ascii="Arial" w:eastAsia="Arial" w:hAnsi="Arial"/>
                <w:color w:val="232D37"/>
                <w:sz w:val="16"/>
              </w:rPr>
              <w:t>Qualified probabilistic estimates with uncertainty for the validated task</w:t>
            </w:r>
          </w:p>
        </w:tc>
      </w:tr>
      <w:tr w:rsidR="0096742E" w14:paraId="5DB5820A" w14:textId="77777777">
        <w:trPr>
          <w:cantSplit/>
          <w:jc w:val="center"/>
        </w:trPr>
        <w:tc>
          <w:tcPr>
            <w:tcW w:w="0" w:type="auto"/>
            <w:shd w:val="clear" w:color="auto" w:fill="F7F9FB"/>
            <w:tcMar>
              <w:top w:w="70" w:type="dxa"/>
              <w:left w:w="90" w:type="dxa"/>
              <w:bottom w:w="70" w:type="dxa"/>
              <w:right w:w="90" w:type="dxa"/>
            </w:tcMar>
            <w:vAlign w:val="center"/>
            <w:hideMark/>
          </w:tcPr>
          <w:p w14:paraId="07C988A6" w14:textId="77777777" w:rsidR="0096742E" w:rsidRDefault="009F6C37">
            <w:pPr>
              <w:spacing w:after="30" w:line="240" w:lineRule="auto"/>
              <w:ind w:firstLine="0"/>
              <w:jc w:val="left"/>
            </w:pPr>
            <w:r>
              <w:rPr>
                <w:rFonts w:ascii="Arial" w:eastAsia="Arial" w:hAnsi="Arial"/>
                <w:bCs/>
                <w:color w:val="232D37"/>
                <w:sz w:val="16"/>
              </w:rPr>
              <w:t>Empirically Supported</w:t>
            </w:r>
          </w:p>
        </w:tc>
        <w:tc>
          <w:tcPr>
            <w:tcW w:w="0" w:type="auto"/>
            <w:shd w:val="clear" w:color="auto" w:fill="F7F9FB"/>
            <w:tcMar>
              <w:top w:w="70" w:type="dxa"/>
              <w:left w:w="90" w:type="dxa"/>
              <w:bottom w:w="70" w:type="dxa"/>
              <w:right w:w="90" w:type="dxa"/>
            </w:tcMar>
            <w:vAlign w:val="center"/>
            <w:hideMark/>
          </w:tcPr>
          <w:p w14:paraId="598BEEAB" w14:textId="77777777" w:rsidR="0096742E" w:rsidRDefault="009F6C37">
            <w:pPr>
              <w:spacing w:after="30" w:line="240" w:lineRule="auto"/>
              <w:ind w:firstLine="0"/>
              <w:jc w:val="left"/>
            </w:pPr>
            <w:r>
              <w:rPr>
                <w:rFonts w:ascii="Arial" w:eastAsia="Arial" w:hAnsi="Arial"/>
                <w:color w:val="232D37"/>
                <w:sz w:val="16"/>
              </w:rPr>
              <w:t>Replicated across contexts</w:t>
            </w:r>
          </w:p>
        </w:tc>
        <w:tc>
          <w:tcPr>
            <w:tcW w:w="0" w:type="auto"/>
            <w:shd w:val="clear" w:color="auto" w:fill="F7F9FB"/>
            <w:tcMar>
              <w:top w:w="70" w:type="dxa"/>
              <w:left w:w="90" w:type="dxa"/>
              <w:bottom w:w="70" w:type="dxa"/>
              <w:right w:w="90" w:type="dxa"/>
            </w:tcMar>
            <w:vAlign w:val="center"/>
            <w:hideMark/>
          </w:tcPr>
          <w:p w14:paraId="684FEFF5" w14:textId="77777777" w:rsidR="0096742E" w:rsidRDefault="009F6C37">
            <w:pPr>
              <w:spacing w:after="30" w:line="240" w:lineRule="auto"/>
              <w:ind w:firstLine="0"/>
              <w:jc w:val="left"/>
            </w:pPr>
            <w:r>
              <w:rPr>
                <w:rFonts w:ascii="Arial" w:eastAsia="Arial" w:hAnsi="Arial"/>
                <w:color w:val="232D37"/>
                <w:sz w:val="16"/>
              </w:rPr>
              <w:t>Replicated probabilistic estimates within the validated scope</w:t>
            </w:r>
          </w:p>
        </w:tc>
      </w:tr>
    </w:tbl>
    <w:p w14:paraId="174A9306" w14:textId="77777777" w:rsidR="0096742E" w:rsidRDefault="009F6C37">
      <w:r>
        <w:rPr>
          <w:rFonts w:eastAsia="Times New Roman"/>
          <w:color w:val="232323"/>
        </w:rPr>
        <w:t>A company Lens cannot become more mature merely because many candidates use it. Maturity reflects evidence and validation status, not commercial importance.</w:t>
      </w:r>
    </w:p>
    <w:p w14:paraId="22F71B68" w14:textId="77777777" w:rsidR="0096742E" w:rsidRDefault="009F6C37">
      <w:pPr>
        <w:pStyle w:val="Heading2"/>
        <w:rPr>
          <w:bCs/>
        </w:rPr>
      </w:pPr>
      <w:r>
        <w:rPr>
          <w:bCs/>
        </w:rPr>
        <w:t>3.2 Structured Interview DNA</w:t>
      </w:r>
    </w:p>
    <w:p w14:paraId="7CE33088" w14:textId="77777777" w:rsidR="0096742E" w:rsidRDefault="009F6C37">
      <w:r>
        <w:t>The interview DNA is the smallest stable schema that allows Lenses to interoperate across products. A complete JSON example is provided in Supplementary Listing S1.</w:t>
      </w:r>
    </w:p>
    <w:p w14:paraId="0708003D" w14:textId="77777777" w:rsidR="0096742E" w:rsidRDefault="009F6C37">
      <w:r>
        <w:t>The schema deliberately omits information not needed to rank practice tasks. A candidate's raw practice transcript, contact information, demographic data, or employment outcome should not be stored in a Lens. The system retains references to source material and transformations rather than treating decontextualized assertions as fact. A numeric support ceiling, when used operationally, is a policy parameter that limits release behavior; it is not a calibrated probability that a recommendation is correct.</w:t>
      </w:r>
    </w:p>
    <w:p w14:paraId="58FDD769" w14:textId="77777777" w:rsidR="0096742E" w:rsidRDefault="009F6C37">
      <w:pPr>
        <w:pStyle w:val="Heading2"/>
        <w:rPr>
          <w:bCs/>
        </w:rPr>
      </w:pPr>
      <w:r>
        <w:rPr>
          <w:bCs/>
        </w:rPr>
        <w:t>3.3 Evidence Packets</w:t>
      </w:r>
    </w:p>
    <w:p w14:paraId="1D3DBA47" w14:textId="77777777" w:rsidR="0096742E" w:rsidRDefault="009F6C37">
      <w:r>
        <w:t>Every rule or learned parameter has an evidence packet recording source type, declared permitted use, date, collection method, scope, reviewer, quality rating, transformation history, and expiry conditions. Authorization and statistical weight are deliberately separated: permitted use determines whether evidence may enter a decision at all; quality and recency affect only the contribution of evidence that has already passed the authorization gate.</w:t>
      </w:r>
    </w:p>
    <w:p w14:paraId="592B7637" w14:textId="77777777" w:rsidR="0096742E" w:rsidRDefault="009F6C37">
      <w:r>
        <w:rPr>
          <w:rFonts w:eastAsia="Times New Roman"/>
          <w:color w:val="232323"/>
        </w:rPr>
        <w:t>Evidence packets provide three practical benefits: they make review possible, make outdated rules visible, and make a negative decision explainable: "A company-specific Lens was not used because no current, authorized evidence satisfied the release criteria."</w:t>
      </w:r>
    </w:p>
    <w:p w14:paraId="736309E6" w14:textId="77777777" w:rsidR="0096742E" w:rsidRDefault="009F6C37">
      <w:r>
        <w:rPr>
          <w:rFonts w:eastAsia="Times New Roman"/>
          <w:color w:val="232323"/>
        </w:rPr>
        <w:pict w14:anchorId="64B154D8">
          <v:rect id="_x0000_i1028" style="width:0;height:.75pt" o:hralign="center" o:hrstd="t" o:hr="t" fillcolor="#a0a0a0" stroked="f"/>
        </w:pict>
      </w:r>
    </w:p>
    <w:p w14:paraId="397FA84D" w14:textId="77777777" w:rsidR="0096742E" w:rsidRDefault="009F6C37">
      <w:pPr>
        <w:pStyle w:val="Heading1"/>
        <w:rPr>
          <w:bCs/>
        </w:rPr>
      </w:pPr>
      <w:r>
        <w:rPr>
          <w:bCs/>
        </w:rPr>
        <w:t>4 Routing and Follow-Up Generation</w:t>
      </w:r>
    </w:p>
    <w:p w14:paraId="7168739A" w14:textId="77777777" w:rsidR="0096742E" w:rsidRDefault="009F6C37">
      <w:pPr>
        <w:pStyle w:val="Heading2"/>
        <w:rPr>
          <w:bCs/>
        </w:rPr>
      </w:pPr>
      <w:r>
        <w:rPr>
          <w:bCs/>
        </w:rPr>
        <w:t>4.1 Routing as a Controlled Decision</w:t>
      </w:r>
    </w:p>
    <w:p w14:paraId="4F27CEC9" w14:textId="77777777" w:rsidR="0096742E" w:rsidRDefault="009F6C37">
      <w:r>
        <w:t>Routing selects the highest-specificity Lens that satisfies applicability, rights, freshness, and maturity constraints. Reference pseudocode is provided in Supplementary Listing S3.</w:t>
      </w:r>
    </w:p>
    <w:p w14:paraId="39AA64EE" w14:textId="77777777" w:rsidR="0096742E" w:rsidRDefault="009F6C37">
      <w:r>
        <w:lastRenderedPageBreak/>
        <w:t>The routing result should be visible in the user experience. At minimum, a user should see the Lens type and version, evidence maturity, whether broader evidence was borrowed, and the fact that the output is a practice aid. Operational support ceilings may constrain release behavior, but they must not be displayed as calibrated probabilities unless held-out calibration has been established.</w:t>
      </w:r>
    </w:p>
    <w:p w14:paraId="58EEC39E" w14:textId="77777777" w:rsidR="0096742E" w:rsidRDefault="009F6C37">
      <w:pPr>
        <w:pStyle w:val="Heading2"/>
        <w:rPr>
          <w:bCs/>
        </w:rPr>
      </w:pPr>
      <w:r>
        <w:rPr>
          <w:bCs/>
        </w:rPr>
        <w:t>4.2 Constrained Follow-Up Selection</w:t>
      </w:r>
    </w:p>
    <w:p w14:paraId="5AD37756" w14:textId="77777777" w:rsidR="0096742E" w:rsidRDefault="009F6C37">
      <w:r>
        <w:rPr>
          <w:rFonts w:eastAsia="Times New Roman"/>
          <w:color w:val="232323"/>
        </w:rPr>
        <w:t>After routing, the system maps the candidate answer and interview DNA to a set of compatible follow-up categories. Language generation occurs after category selection, not before. This separation permits a reviewer to inspect whether "ask for ownership" was appropriate even if the exact wording changes.</w:t>
      </w:r>
    </w:p>
    <w:p w14:paraId="1EB25DA7" w14:textId="77777777" w:rsidR="0096742E" w:rsidRDefault="009F6C37">
      <w:r>
        <w:t>The field primary_priority_weight is an internal normalized diagnostic value used to order practice options. It is not a calibrated probability that a named employer will ask the corresponding follow-up or make a particular hiring decision; external probability language is permitted only after the evaluation gates in Section 7 are satisfied.</w:t>
      </w:r>
    </w:p>
    <w:p w14:paraId="6DD60FEC" w14:textId="77777777" w:rsidR="0096742E" w:rsidRDefault="009F6C37">
      <w:pPr>
        <w:pStyle w:val="Heading2"/>
        <w:rPr>
          <w:bCs/>
        </w:rPr>
      </w:pPr>
      <w:r>
        <w:rPr>
          <w:bCs/>
        </w:rPr>
        <w:t>4.3 Separate Models for Candidate Adaptation and Lens Evidence</w:t>
      </w:r>
    </w:p>
    <w:p w14:paraId="482DC433" w14:textId="77777777" w:rsidR="0096742E" w:rsidRDefault="009F6C37">
      <w:r>
        <w:rPr>
          <w:rFonts w:eastAsia="Times New Roman"/>
          <w:color w:val="232323"/>
        </w:rPr>
        <w:t>Candidate adaptation is useful but must be isolated. A practice system may observe that a candidate repeatedly omits measurable outcomes and therefore prioritize result-evidence drills for that candidate. This personal adaptation belongs to a </w:t>
      </w:r>
      <w:r>
        <w:rPr>
          <w:rFonts w:eastAsia="Times New Roman"/>
          <w:b/>
          <w:bCs/>
          <w:color w:val="232323"/>
        </w:rPr>
        <w:t>candidate-state model</w:t>
      </w:r>
      <w:r>
        <w:rPr>
          <w:rFonts w:eastAsia="Times New Roman"/>
          <w:color w:val="232323"/>
        </w:rPr>
        <w:t> under consent. It does not demonstrate that an employer favors such follow-ups and must not alter the employer or industry Lens automatically.</w:t>
      </w:r>
    </w:p>
    <w:p w14:paraId="512E89BF" w14:textId="77777777" w:rsidR="0096742E" w:rsidRDefault="009F6C37">
      <w:r>
        <w:t>This separation prevents a feedback loop in which system-generated practice becomes its own evidence about an employer. It also supports data minimization: the Lens Core can receive a derived, short-lived feature such as "result evidence not yet provided" without retaining the raw answer text. More broadly, candidate-state adaptation and organization-level modeling are different epistemic objects and require different consent, provenance, and validation pathways.</w:t>
      </w:r>
    </w:p>
    <w:p w14:paraId="016732D7" w14:textId="77777777" w:rsidR="0096742E" w:rsidRDefault="009F6C37">
      <w:r>
        <w:rPr>
          <w:rFonts w:eastAsia="Times New Roman"/>
          <w:color w:val="232323"/>
        </w:rPr>
        <w:pict w14:anchorId="0210D291">
          <v:rect id="_x0000_i1029" style="width:0;height:.75pt" o:hralign="center" o:hrstd="t" o:hr="t" fillcolor="#a0a0a0" stroked="f"/>
        </w:pict>
      </w:r>
    </w:p>
    <w:p w14:paraId="6F161C66" w14:textId="77777777" w:rsidR="0096742E" w:rsidRDefault="009F6C37">
      <w:pPr>
        <w:pStyle w:val="Heading1"/>
        <w:rPr>
          <w:bCs/>
        </w:rPr>
      </w:pPr>
      <w:r>
        <w:t>5 Dependency Modeling, Hierarchical Shrinkage, Backoff, and Uncertainty</w:t>
      </w:r>
    </w:p>
    <w:p w14:paraId="3E4C5B09" w14:textId="77777777" w:rsidR="0096742E" w:rsidRDefault="009F6C37">
      <w:pPr>
        <w:pStyle w:val="Heading2"/>
        <w:rPr>
          <w:bCs/>
        </w:rPr>
      </w:pPr>
      <w:r>
        <w:rPr>
          <w:bCs/>
        </w:rPr>
        <w:t>5.1 A Constrained Graph, Not a Causal Claim</w:t>
      </w:r>
    </w:p>
    <w:p w14:paraId="124D2F88" w14:textId="77777777" w:rsidR="0096742E" w:rsidRDefault="009F6C37">
      <w:r>
        <w:rPr>
          <w:rFonts w:eastAsia="Times New Roman"/>
          <w:color w:val="232323"/>
        </w:rPr>
        <w:t>For each follow-up category, AIMS defines a directed dependency structure over a capped set of parent attributes. The graph is a compact statement of modeling assumptions: under which combinations of attributes should a category be considered more relevant?</w:t>
      </w:r>
    </w:p>
    <w:p w14:paraId="4913D7D7" w14:textId="77777777" w:rsidR="0096742E" w:rsidRDefault="009F6C37">
      <w:pPr>
        <w:spacing w:before="100" w:after="40"/>
        <w:jc w:val="center"/>
      </w:pPr>
      <w:r>
        <w:rPr>
          <w:rFonts w:eastAsia="Times New Roman"/>
          <w:noProof/>
          <w:color w:val="232323"/>
        </w:rPr>
        <w:lastRenderedPageBreak/>
        <w:drawing>
          <wp:inline distT="0" distB="0" distL="0" distR="0" wp14:anchorId="03CC326E" wp14:editId="4BB75311">
            <wp:extent cx="5486400" cy="4479345"/>
            <wp:effectExtent l="0" t="0" r="0" b="0"/>
            <wp:docPr id="1" name="Picture 1" descr="Constrained dependency graph showing declared contextual parent attributes feeding follow-up category selection under bounded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ependency.png"/>
                    <pic:cNvPicPr/>
                  </pic:nvPicPr>
                  <pic:blipFill>
                    <a:blip r:embed="rId7"/>
                    <a:stretch>
                      <a:fillRect/>
                    </a:stretch>
                  </pic:blipFill>
                  <pic:spPr>
                    <a:xfrm>
                      <a:off x="0" y="0"/>
                      <a:ext cx="5486400" cy="4479345"/>
                    </a:xfrm>
                    <a:prstGeom prst="rect">
                      <a:avLst/>
                    </a:prstGeom>
                  </pic:spPr>
                </pic:pic>
              </a:graphicData>
            </a:graphic>
          </wp:inline>
        </w:drawing>
      </w:r>
    </w:p>
    <w:p w14:paraId="194C277A" w14:textId="77777777" w:rsidR="0096742E" w:rsidRDefault="009F6C37">
      <w:pPr>
        <w:pStyle w:val="FigureCaption"/>
      </w:pPr>
      <w:r>
        <w:t>Figure 1. Constrained dependency graph for follow-up category selection.</w:t>
      </w:r>
    </w:p>
    <w:p w14:paraId="3B1029CA" w14:textId="77777777" w:rsidR="0096742E" w:rsidRDefault="009F6C37">
      <w:r>
        <w:rPr>
          <w:rFonts w:eastAsia="Times New Roman"/>
          <w:color w:val="232323"/>
        </w:rPr>
        <w:t>Parent counts must be limited before estimation. A small number of interpretable parents reduces combinatorial sparsity and makes expert review feasible. The allowed parent set is declared in the Lens schema, with an exception requiring documented reviewer approval.</w:t>
      </w:r>
    </w:p>
    <w:p w14:paraId="2A05FC6F" w14:textId="77777777" w:rsidR="0096742E" w:rsidRDefault="009F6C37">
      <w:r>
        <w:rPr>
          <w:rFonts w:eastAsia="Times New Roman"/>
          <w:color w:val="232323"/>
        </w:rPr>
        <w:t>Total parent configurations: 5 × 5 × 6 × 7 × 7 × 3 = 22,050. With capped parents and hierarchical pooling, this remains tractable.</w:t>
      </w:r>
    </w:p>
    <w:p w14:paraId="42B203F8" w14:textId="77777777" w:rsidR="0096742E" w:rsidRDefault="009F6C37">
      <w:pPr>
        <w:pStyle w:val="Heading2"/>
        <w:rPr>
          <w:bCs/>
        </w:rPr>
      </w:pPr>
      <w:r>
        <w:rPr>
          <w:bCs/>
        </w:rPr>
        <w:t>5.2 Formal DAG Factorization and Compatibility Masking</w:t>
      </w:r>
    </w:p>
    <w:p w14:paraId="424F0C2C" w14:textId="77777777" w:rsidR="0096742E" w:rsidRDefault="009F6C37">
      <w:r>
        <w:rPr>
          <w:rFonts w:eastAsia="Times New Roman"/>
          <w:color w:val="232323"/>
        </w:rPr>
        <w:t>For a Lens version L, define a directed acyclic graph G = (V, E) over contextual, candidate-state, interviewer-state, and decision nodes. If z_t = (z_{t1}, ..., z_{td}) contains all nodes at a given turn, the model factorizes the joint distribution as:</w:t>
      </w:r>
    </w:p>
    <w:p w14:paraId="6D92CDF9" w14:textId="608B2C24" w:rsidR="0096742E" w:rsidRDefault="009F6C37">
      <m:oMathPara>
        <m:oMath>
          <m:sSub>
            <m:sSubPr>
              <m:ctrlPr>
                <w:rPr>
                  <w:rFonts w:ascii="Cambria Math" w:hAnsi="Cambria Math"/>
                </w:rPr>
              </m:ctrlPr>
            </m:sSubPr>
            <m:e>
              <m:r>
                <w:rPr>
                  <w:rFonts w:ascii="Cambria Math" w:hAnsi="Cambria Math"/>
                </w:rPr>
                <m:t>p</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w:rPr>
                  <w:rFonts w:ascii="Cambria Math" w:hAnsi="Cambria Math"/>
                </w:rPr>
                <m:t>L</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d</m:t>
              </m:r>
            </m:sup>
            <m:e>
              <m:sSub>
                <m:sSubPr>
                  <m:ctrlPr>
                    <w:rPr>
                      <w:rFonts w:ascii="Cambria Math" w:hAnsi="Cambria Math"/>
                    </w:rPr>
                  </m:ctrlPr>
                </m:sSubPr>
                <m:e>
                  <m:r>
                    <w:rPr>
                      <w:rFonts w:ascii="Cambria Math" w:hAnsi="Cambria Math"/>
                    </w:rPr>
                    <m:t>p</m:t>
                  </m:r>
                </m:e>
                <m:sub>
                  <m:r>
                    <m:rPr>
                      <m:sty m:val="p"/>
                    </m:rPr>
                    <w:rPr>
                      <w:rFonts w:ascii="Cambria Math" w:hAnsi="Cambria Math"/>
                    </w:rPr>
                    <m:t>Θ</m:t>
                  </m:r>
                </m:sub>
              </m:sSub>
            </m:e>
          </m:nary>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tj</m:t>
                  </m:r>
                </m:sub>
              </m:sSub>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w:rPr>
                      <w:rFonts w:ascii="Cambria Math" w:hAnsi="Cambria Math"/>
                    </w:rPr>
                    <m:t>,</m:t>
                  </m:r>
                  <m:r>
                    <m:rPr>
                      <m:sty m:val="p"/>
                    </m:rPr>
                    <w:rPr>
                      <w:rFonts w:ascii="Cambria Math" w:hAnsi="Cambria Math"/>
                    </w:rPr>
                    <m:t>Pa</m:t>
                  </m:r>
                  <m:r>
                    <w:rPr>
                      <w:rFonts w:ascii="Cambria Math" w:hAnsi="Cambria Math"/>
                    </w:rPr>
                    <m:t>⁡</m:t>
                  </m:r>
                  <m:d>
                    <m:dPr>
                      <m:ctrlPr>
                        <w:rPr>
                          <w:rFonts w:ascii="Cambria Math" w:hAnsi="Cambria Math"/>
                        </w:rPr>
                      </m:ctrlPr>
                    </m:dPr>
                    <m:e>
                      <m:r>
                        <w:rPr>
                          <w:rFonts w:ascii="Cambria Math" w:hAnsi="Cambria Math"/>
                        </w:rPr>
                        <m:t>j</m:t>
                      </m:r>
                    </m:e>
                  </m:d>
                </m:sub>
              </m:sSub>
              <m:r>
                <w:rPr>
                  <w:rFonts w:ascii="Cambria Math" w:hAnsi="Cambria Math"/>
                </w:rPr>
                <m:t>L</m:t>
              </m:r>
            </m:e>
          </m:d>
          <m:r>
            <w:rPr>
              <w:rFonts w:ascii="Cambria Math" w:hAnsi="Cambria Math"/>
            </w:rPr>
            <m:t>,</m:t>
          </m:r>
          <m:r>
            <w:br/>
          </m:r>
        </m:oMath>
      </m:oMathPara>
    </w:p>
    <w:p w14:paraId="33F4A911" w14:textId="77777777" w:rsidR="0096742E" w:rsidRDefault="009F6C37">
      <w:r>
        <w:rPr>
          <w:rFonts w:eastAsia="Times New Roman"/>
          <w:color w:val="232323"/>
        </w:rPr>
        <w:t>where Pa(j) is the declared parent set of node j.</w:t>
      </w:r>
    </w:p>
    <w:p w14:paraId="4C06C253" w14:textId="77777777" w:rsidR="0096742E" w:rsidRDefault="009F6C37">
      <w:r>
        <w:rPr>
          <w:rFonts w:eastAsia="Times New Roman"/>
          <w:color w:val="232323"/>
        </w:rPr>
        <w:t>The stopping node is estimated separately from the category node. A simple interpretable specification is a regularized logistic model:</w:t>
      </w:r>
    </w:p>
    <w:p w14:paraId="3A59B921" w14:textId="240575F3" w:rsidR="0096742E" w:rsidRDefault="009F6C37">
      <m:oMathPara>
        <m:oMath>
          <m:r>
            <m:rPr>
              <m:sty m:val="p"/>
            </m:rPr>
            <w:rPr>
              <w:rFonts w:ascii="Cambria Math" w:hAnsi="Cambria Math"/>
            </w:rPr>
            <m:t>Pr</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L</m:t>
              </m:r>
            </m:e>
          </m:d>
          <m: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v</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r>
                    <w:rPr>
                      <w:rFonts w:ascii="Cambria Math" w:hAnsi="Cambria Math"/>
                    </w:rPr>
                    <m:t>L</m:t>
                  </m:r>
                </m:e>
              </m:d>
            </m:e>
          </m:d>
          <m:r>
            <w:rPr>
              <w:rFonts w:ascii="Cambria Math" w:hAnsi="Cambria Math"/>
            </w:rPr>
            <m:t>,</m:t>
          </m:r>
          <m:r>
            <w:br/>
          </m:r>
        </m:oMath>
      </m:oMathPara>
    </w:p>
    <w:p w14:paraId="1F1FEBB3" w14:textId="77777777" w:rsidR="0096742E" w:rsidRDefault="009F6C37">
      <w:r>
        <w:rPr>
          <w:rFonts w:eastAsia="Times New Roman"/>
          <w:color w:val="232323"/>
        </w:rPr>
        <w:lastRenderedPageBreak/>
        <w:t>where v(x_t, L) contains declared features such as stage, follow-up count, time remaining, answer completeness, and safety status.</w:t>
      </w:r>
    </w:p>
    <w:p w14:paraId="26A1FB29" w14:textId="4D39CF23" w:rsidR="0096742E" w:rsidRDefault="00B315C2">
      <w:r>
        <w:rPr>
          <w:rFonts w:eastAsia="Times New Roman"/>
          <w:color w:val="232323"/>
        </w:rPr>
        <w:t>Let M_k(x_t, L) be a binary compatibility mask for follow-up category k. It equals zero when a category violates a hard rule. Equation 3 defines a policy-constrained category distribution derived from the model-internal category distribution by deterministic masking and renormalization:</w:t>
      </w:r>
    </w:p>
    <w:p w14:paraId="2F2D1229" w14:textId="5E2F9554" w:rsidR="0096742E" w:rsidRDefault="009F6C37">
      <m:oMathPara>
        <m:oMath>
          <m:sSub>
            <m:sSubPr>
              <m:ctrlPr>
                <w:rPr>
                  <w:rFonts w:ascii="Cambria Math" w:hAnsi="Cambria Math"/>
                </w:rPr>
              </m:ctrlPr>
            </m:sSubPr>
            <m:e>
              <m:r>
                <w:rPr>
                  <w:rFonts w:ascii="Cambria Math" w:hAnsi="Cambria Math"/>
                </w:rPr>
                <m:t>q</m:t>
              </m:r>
            </m:e>
            <m:sub>
              <m:r>
                <w:rPr>
                  <w:rFonts w:ascii="Cambria Math" w:hAnsi="Cambria Math"/>
                </w:rPr>
                <m:t>k</m:t>
              </m:r>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r>
                <w:rPr>
                  <w:rFonts w:ascii="Cambria Math" w:hAnsi="Cambria Math"/>
                </w:rPr>
                <m:t>L</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k</m:t>
                  </m:r>
                </m:sub>
              </m:sSub>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r>
                    <w:rPr>
                      <w:rFonts w:ascii="Cambria Math" w:hAnsi="Cambria Math"/>
                    </w:rPr>
                    <m:t>L</m:t>
                  </m:r>
                </m:e>
              </m:d>
              <m:r>
                <m:rPr>
                  <m:nor/>
                </m:rPr>
                <w:rPr>
                  <w:rFonts w:ascii="Arial" w:hAnsi="Arial" w:cs="Arial"/>
                </w:rPr>
                <m:t> </m:t>
              </m:r>
              <m:sSub>
                <m:sSubPr>
                  <m:ctrlPr>
                    <w:rPr>
                      <w:rFonts w:ascii="Cambria Math" w:hAnsi="Cambria Math"/>
                    </w:rPr>
                  </m:ctrlPr>
                </m:sSubPr>
                <m:e>
                  <m:r>
                    <w:rPr>
                      <w:rFonts w:ascii="Cambria Math" w:hAnsi="Cambria Math"/>
                    </w:rPr>
                    <m:t>p</m:t>
                  </m:r>
                </m:e>
                <m:sub>
                  <m:r>
                    <m:rPr>
                      <m:sty m:val="p"/>
                    </m:rPr>
                    <w:rPr>
                      <w:rFonts w:ascii="Cambria Math" w:hAnsi="Cambria Math"/>
                    </w:rPr>
                    <m:t>Θ</m:t>
                  </m:r>
                </m:sub>
              </m:sSub>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e>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L</m:t>
                  </m:r>
                </m:e>
              </m:d>
            </m:num>
            <m:den>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M</m:t>
                      </m:r>
                    </m:e>
                    <m:sub>
                      <m:r>
                        <w:rPr>
                          <w:rFonts w:ascii="Cambria Math" w:hAnsi="Cambria Math"/>
                        </w:rPr>
                        <m:t>j</m:t>
                      </m:r>
                    </m:sub>
                  </m:sSub>
                </m:e>
              </m:nary>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r>
                    <w:rPr>
                      <w:rFonts w:ascii="Cambria Math" w:hAnsi="Cambria Math"/>
                    </w:rPr>
                    <m:t>L</m:t>
                  </m:r>
                </m:e>
              </m:d>
              <m:r>
                <m:rPr>
                  <m:nor/>
                </m:rPr>
                <w:rPr>
                  <w:rFonts w:ascii="Arial" w:hAnsi="Arial" w:cs="Arial"/>
                </w:rPr>
                <m:t> </m:t>
              </m:r>
              <m:sSub>
                <m:sSubPr>
                  <m:ctrlPr>
                    <w:rPr>
                      <w:rFonts w:ascii="Cambria Math" w:hAnsi="Cambria Math"/>
                    </w:rPr>
                  </m:ctrlPr>
                </m:sSubPr>
                <m:e>
                  <m:r>
                    <w:rPr>
                      <w:rFonts w:ascii="Cambria Math" w:hAnsi="Cambria Math"/>
                    </w:rPr>
                    <m:t>p</m:t>
                  </m:r>
                </m:e>
                <m:sub>
                  <m:r>
                    <m:rPr>
                      <m:sty m:val="p"/>
                    </m:rPr>
                    <w:rPr>
                      <w:rFonts w:ascii="Cambria Math" w:hAnsi="Cambria Math"/>
                    </w:rPr>
                    <m:t>Θ</m:t>
                  </m:r>
                </m:sub>
              </m:sSub>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e>
                  <m:r>
                    <w:rPr>
                      <w:rFonts w:ascii="Cambria Math" w:hAnsi="Cambria Math"/>
                    </w:rPr>
                    <m:t>=</m:t>
                  </m:r>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L</m:t>
                  </m:r>
                </m:e>
              </m:d>
            </m:den>
          </m:f>
          <m:r>
            <w:rPr>
              <w:rFonts w:ascii="Cambria Math" w:hAnsi="Cambria Math"/>
            </w:rPr>
            <m:t>.</m:t>
          </m:r>
          <m:r>
            <w:br/>
          </m:r>
        </m:oMath>
      </m:oMathPara>
    </w:p>
    <w:p w14:paraId="6F1E868F" w14:textId="1F264A5C" w:rsidR="0096742E" w:rsidRDefault="00B315C2">
      <w:r>
        <w:rPr>
          <w:rFonts w:eastAsia="Times New Roman"/>
          <w:color w:val="232323"/>
        </w:rPr>
        <w:t>This separates invalidity from rarity. A valid but uncommon follow-up retains non-zero mass; an invalid follow-up is excluded by policy. The masking transformation is not a posterior update and does not by itself preserve empirical calibration. If the permitted set retains zero model mass, the runtime does not force a normalization; it fails closed instead. Any later probabilistic interpretation of a masked output therefore requires evaluation on the correspondingly conditioned held-out target.</w:t>
      </w:r>
    </w:p>
    <w:p w14:paraId="011D09B9" w14:textId="77777777" w:rsidR="0096742E" w:rsidRDefault="009F6C37">
      <w:pPr>
        <w:pStyle w:val="Heading2"/>
        <w:rPr>
          <w:bCs/>
        </w:rPr>
      </w:pPr>
      <w:r>
        <w:t>5.3 Hierarchical Dirichlet Model and Recursive Plug-In Shrinkage</w:t>
      </w:r>
    </w:p>
    <w:p w14:paraId="520AB5BA" w14:textId="77777777" w:rsidR="0096742E" w:rsidRDefault="009F6C37">
      <w:r>
        <w:rPr>
          <w:rFonts w:eastAsia="Times New Roman"/>
          <w:color w:val="232323"/>
        </w:rPr>
        <w:t>Let u denote a declared parent configuration for the follow-up node. Let theta_{c,u} be the company-level probability vector over K categories, phi_{i,u} the industry-level vector, psi_{a,u} the role-archetype vector, and pi_u the generic vector.</w:t>
      </w:r>
    </w:p>
    <w:p w14:paraId="7FEA9143" w14:textId="63FD26A6" w:rsidR="0096742E" w:rsidRDefault="009F6C37">
      <m:oMathPara>
        <m:oMath>
          <m:eqArr>
            <m:eqArrPr>
              <m:ctrlPr>
                <w:rPr>
                  <w:rFonts w:ascii="Cambria Math" w:hAnsi="Cambria Math"/>
                </w:rPr>
              </m:ctrlPr>
            </m:eqArrPr>
            <m:e>
              <m:sSub>
                <m:sSubPr>
                  <m:ctrlPr>
                    <w:rPr>
                      <w:rFonts w:ascii="Cambria Math" w:hAnsi="Cambria Math"/>
                    </w:rPr>
                  </m:ctrlPr>
                </m:sSubPr>
                <m:e>
                  <m:r>
                    <w:rPr>
                      <w:rFonts w:ascii="Cambria Math" w:hAnsi="Cambria Math"/>
                    </w:rPr>
                    <m:t>θ</m:t>
                  </m:r>
                </m:e>
                <m:sub>
                  <m:r>
                    <w:rPr>
                      <w:rFonts w:ascii="Cambria Math" w:hAnsi="Cambria Math"/>
                    </w:rPr>
                    <m:t>c</m:t>
                  </m:r>
                  <m:r>
                    <w:rPr>
                      <w:rFonts w:ascii="Cambria Math" w:hAnsi="Cambria Math"/>
                    </w:rPr>
                    <m:t>,</m:t>
                  </m:r>
                  <m:r>
                    <w:rPr>
                      <w:rFonts w:ascii="Cambria Math" w:hAnsi="Cambria Math"/>
                    </w:rPr>
                    <m:t>u</m:t>
                  </m:r>
                </m:sub>
              </m:sSub>
              <m:r>
                <w:rPr>
                  <w:rFonts w:ascii="Cambria Math" w:hAnsi="Cambria Math"/>
                </w:rPr>
                <m:t>&amp;∼</m:t>
              </m:r>
              <m:r>
                <m:rPr>
                  <m:sty m:val="p"/>
                </m:rPr>
                <w:rPr>
                  <w:rFonts w:ascii="Cambria Math" w:hAnsi="Cambria Math"/>
                </w:rPr>
                <m:t>Dirichlet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c</m:t>
                      </m:r>
                    </m:sub>
                  </m:sSub>
                  <m:sSub>
                    <m:sSubPr>
                      <m:ctrlPr>
                        <w:rPr>
                          <w:rFonts w:ascii="Cambria Math" w:hAnsi="Cambria Math"/>
                        </w:rPr>
                      </m:ctrlPr>
                    </m:sSubPr>
                    <m:e>
                      <m:r>
                        <w:rPr>
                          <w:rFonts w:ascii="Cambria Math" w:hAnsi="Cambria Math"/>
                        </w:rPr>
                        <m:t>ϕ</m:t>
                      </m:r>
                    </m:e>
                    <m:sub>
                      <m:r>
                        <w:rPr>
                          <w:rFonts w:ascii="Cambria Math" w:hAnsi="Cambria Math"/>
                        </w:rPr>
                        <m:t>i</m:t>
                      </m:r>
                      <m:d>
                        <m:dPr>
                          <m:ctrlPr>
                            <w:rPr>
                              <w:rFonts w:ascii="Cambria Math" w:hAnsi="Cambria Math"/>
                            </w:rPr>
                          </m:ctrlPr>
                        </m:dPr>
                        <m:e>
                          <m:r>
                            <w:rPr>
                              <w:rFonts w:ascii="Cambria Math" w:hAnsi="Cambria Math"/>
                            </w:rPr>
                            <m:t>c</m:t>
                          </m:r>
                        </m:e>
                      </m:d>
                      <m:r>
                        <w:rPr>
                          <w:rFonts w:ascii="Cambria Math" w:hAnsi="Cambria Math"/>
                        </w:rPr>
                        <m:t>,</m:t>
                      </m:r>
                      <m:r>
                        <w:rPr>
                          <w:rFonts w:ascii="Cambria Math" w:hAnsi="Cambria Math"/>
                        </w:rPr>
                        <m:t>u</m:t>
                      </m:r>
                    </m:sub>
                  </m:sSub>
                </m:e>
              </m:d>
              <m:r>
                <w:rPr>
                  <w:rFonts w:ascii="Cambria Math" w:hAnsi="Cambria Math"/>
                </w:rPr>
                <m:t>,</m:t>
              </m:r>
            </m:e>
            <m:e>
              <m:sSub>
                <m:sSubPr>
                  <m:ctrlPr>
                    <w:rPr>
                      <w:rFonts w:ascii="Cambria Math" w:hAnsi="Cambria Math"/>
                    </w:rPr>
                  </m:ctrlPr>
                </m:sSubPr>
                <m:e>
                  <m:r>
                    <w:rPr>
                      <w:rFonts w:ascii="Cambria Math" w:hAnsi="Cambria Math"/>
                    </w:rPr>
                    <m:t>ϕ</m:t>
                  </m:r>
                </m:e>
                <m:sub>
                  <m:r>
                    <w:rPr>
                      <w:rFonts w:ascii="Cambria Math" w:hAnsi="Cambria Math"/>
                    </w:rPr>
                    <m:t>i</m:t>
                  </m:r>
                  <m:r>
                    <w:rPr>
                      <w:rFonts w:ascii="Cambria Math" w:hAnsi="Cambria Math"/>
                    </w:rPr>
                    <m:t>,</m:t>
                  </m:r>
                  <m:r>
                    <w:rPr>
                      <w:rFonts w:ascii="Cambria Math" w:hAnsi="Cambria Math"/>
                    </w:rPr>
                    <m:t>u</m:t>
                  </m:r>
                </m:sub>
              </m:sSub>
              <m:r>
                <w:rPr>
                  <w:rFonts w:ascii="Cambria Math" w:hAnsi="Cambria Math"/>
                </w:rPr>
                <m:t>&amp;∼</m:t>
              </m:r>
              <m:r>
                <m:rPr>
                  <m:sty m:val="p"/>
                </m:rPr>
                <w:rPr>
                  <w:rFonts w:ascii="Cambria Math" w:hAnsi="Cambria Math"/>
                </w:rPr>
                <m:t>Dirichlet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ψ</m:t>
                      </m:r>
                    </m:e>
                    <m:sub>
                      <m:r>
                        <w:rPr>
                          <w:rFonts w:ascii="Cambria Math" w:hAnsi="Cambria Math"/>
                        </w:rPr>
                        <m:t>a</m:t>
                      </m:r>
                      <m:d>
                        <m:dPr>
                          <m:ctrlPr>
                            <w:rPr>
                              <w:rFonts w:ascii="Cambria Math" w:hAnsi="Cambria Math"/>
                            </w:rPr>
                          </m:ctrlPr>
                        </m:dPr>
                        <m:e>
                          <m:r>
                            <w:rPr>
                              <w:rFonts w:ascii="Cambria Math" w:hAnsi="Cambria Math"/>
                            </w:rPr>
                            <m:t>i</m:t>
                          </m:r>
                        </m:e>
                      </m:d>
                      <m:r>
                        <w:rPr>
                          <w:rFonts w:ascii="Cambria Math" w:hAnsi="Cambria Math"/>
                        </w:rPr>
                        <m:t>,</m:t>
                      </m:r>
                      <m:r>
                        <w:rPr>
                          <w:rFonts w:ascii="Cambria Math" w:hAnsi="Cambria Math"/>
                        </w:rPr>
                        <m:t>u</m:t>
                      </m:r>
                    </m:sub>
                  </m:sSub>
                </m:e>
              </m:d>
              <m:r>
                <w:rPr>
                  <w:rFonts w:ascii="Cambria Math" w:hAnsi="Cambria Math"/>
                </w:rPr>
                <m:t>,</m:t>
              </m:r>
            </m:e>
            <m:e>
              <m:sSub>
                <m:sSubPr>
                  <m:ctrlPr>
                    <w:rPr>
                      <w:rFonts w:ascii="Cambria Math" w:hAnsi="Cambria Math"/>
                    </w:rPr>
                  </m:ctrlPr>
                </m:sSubPr>
                <m:e>
                  <m:r>
                    <w:rPr>
                      <w:rFonts w:ascii="Cambria Math" w:hAnsi="Cambria Math"/>
                    </w:rPr>
                    <m:t>ψ</m:t>
                  </m:r>
                </m:e>
                <m:sub>
                  <m:r>
                    <w:rPr>
                      <w:rFonts w:ascii="Cambria Math" w:hAnsi="Cambria Math"/>
                    </w:rPr>
                    <m:t>a</m:t>
                  </m:r>
                  <m:r>
                    <w:rPr>
                      <w:rFonts w:ascii="Cambria Math" w:hAnsi="Cambria Math"/>
                    </w:rPr>
                    <m:t>,</m:t>
                  </m:r>
                  <m:r>
                    <w:rPr>
                      <w:rFonts w:ascii="Cambria Math" w:hAnsi="Cambria Math"/>
                    </w:rPr>
                    <m:t>u</m:t>
                  </m:r>
                </m:sub>
              </m:sSub>
              <m:r>
                <w:rPr>
                  <w:rFonts w:ascii="Cambria Math" w:hAnsi="Cambria Math"/>
                </w:rPr>
                <m:t>&amp;∼</m:t>
              </m:r>
              <m:r>
                <m:rPr>
                  <m:sty m:val="p"/>
                </m:rPr>
                <w:rPr>
                  <w:rFonts w:ascii="Cambria Math" w:hAnsi="Cambria Math"/>
                </w:rPr>
                <m:t>Dirichlet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a</m:t>
                      </m:r>
                    </m:sub>
                  </m:sSub>
                  <m:sSub>
                    <m:sSubPr>
                      <m:ctrlPr>
                        <w:rPr>
                          <w:rFonts w:ascii="Cambria Math" w:hAnsi="Cambria Math"/>
                        </w:rPr>
                      </m:ctrlPr>
                    </m:sSubPr>
                    <m:e>
                      <m:r>
                        <w:rPr>
                          <w:rFonts w:ascii="Cambria Math" w:hAnsi="Cambria Math"/>
                        </w:rPr>
                        <m:t>π</m:t>
                      </m:r>
                    </m:e>
                    <m:sub>
                      <m:r>
                        <w:rPr>
                          <w:rFonts w:ascii="Cambria Math" w:hAnsi="Cambria Math"/>
                        </w:rPr>
                        <m:t>u</m:t>
                      </m:r>
                    </m:sub>
                  </m:sSub>
                </m:e>
              </m:d>
              <m:r>
                <w:rPr>
                  <w:rFonts w:ascii="Cambria Math" w:hAnsi="Cambria Math"/>
                </w:rPr>
                <m:t>,</m:t>
              </m:r>
            </m:e>
            <m:e>
              <m:sSub>
                <m:sSubPr>
                  <m:ctrlPr>
                    <w:rPr>
                      <w:rFonts w:ascii="Cambria Math" w:hAnsi="Cambria Math"/>
                    </w:rPr>
                  </m:ctrlPr>
                </m:sSubPr>
                <m:e>
                  <m:r>
                    <w:rPr>
                      <w:rFonts w:ascii="Cambria Math" w:hAnsi="Cambria Math"/>
                    </w:rPr>
                    <m:t>π</m:t>
                  </m:r>
                </m:e>
                <m:sub>
                  <m:r>
                    <w:rPr>
                      <w:rFonts w:ascii="Cambria Math" w:hAnsi="Cambria Math"/>
                    </w:rPr>
                    <m:t>u</m:t>
                  </m:r>
                </m:sub>
              </m:sSub>
              <m:r>
                <w:rPr>
                  <w:rFonts w:ascii="Cambria Math" w:hAnsi="Cambria Math"/>
                </w:rPr>
                <m:t>&amp;∼</m:t>
              </m:r>
              <m:r>
                <m:rPr>
                  <m:sty m:val="p"/>
                </m:rPr>
                <w:rPr>
                  <w:rFonts w:ascii="Cambria Math" w:hAnsi="Cambria Math"/>
                </w:rPr>
                <m:t>Dirichlet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0</m:t>
                      </m:r>
                    </m:sub>
                  </m:sSub>
                </m:e>
              </m:d>
              <m:r>
                <w:rPr>
                  <w:rFonts w:ascii="Cambria Math" w:hAnsi="Cambria Math"/>
                </w:rPr>
                <m:t>.</m:t>
              </m:r>
            </m:e>
          </m:eqArr>
          <m:r>
            <m:rPr>
              <m:sty m:val="p"/>
            </m:rPr>
            <w:br/>
          </m:r>
        </m:oMath>
      </m:oMathPara>
    </w:p>
    <w:p w14:paraId="781DAA3A" w14:textId="77777777" w:rsidR="0096742E" w:rsidRDefault="009F6C37">
      <w:r>
        <w:t>Equation 4 states the hierarchical model. The dependency-free public reference implementation does not perform full joint posterior integration across all hierarchy levels. Instead, hierarchical_partial_pooling() recursively computes each level’s posterior mean and substitutes that mean as the fixed parent distribution for the next level. The executable reference should therefore be read as recursive plug-in hierarchical Dirichlet shrinkage. This distinction is substantive for uncertainty intervals and is e</w:t>
      </w:r>
      <w:r>
        <w:t>valuated separately in Experiment 5.</w:t>
      </w:r>
    </w:p>
    <w:p w14:paraId="64D3A3D6" w14:textId="77777777" w:rsidR="0096742E" w:rsidRDefault="009F6C37">
      <w:r>
        <w:rPr>
          <w:rFonts w:eastAsia="Times New Roman"/>
          <w:color w:val="232323"/>
        </w:rPr>
        <w:t>The concentration parameters kappa_c, kappa_i, and kappa_a control partial pooling. Larger values preserve more parent-level influence; smaller values allow qualified local evidence to move the estimate more quickly.</w:t>
      </w:r>
    </w:p>
    <w:p w14:paraId="2518590D" w14:textId="77777777" w:rsidR="0096742E" w:rsidRDefault="009F6C37">
      <w:r>
        <w:t>To make the generic prior explicit, let the generic base distribution for context u be π_base(u), and let λ₀ &gt; 0 denote its scalar prior strength. Define the Dirichlet parameter vector as α₀(u) = λ₀ π_base(u), so the final line of the hierarchy is π(u) ~ Dirichlet(α₀(u)). This separates the vector Dirichlet parameter from the scalar prior strength λ₀ reported in Supplementary Table S13 and the public reference configuration.</w:t>
      </w:r>
    </w:p>
    <w:p w14:paraId="2641232F" w14:textId="77777777" w:rsidR="0096742E" w:rsidRDefault="009F6C37">
      <w:r>
        <w:t>For record j, let y_{j,k} be one if the observed follow-up category is k and zero otherwise, and let a_j ∈ {0,1} be the authorization gate for the current modeling purpose. Authorization is a hard eligibility condition: only records whose declared permitted use covers the current purpose enter the sufficient-statistics update. Among authorized records, ρ_j ∈ [0,1] represents reviewed source quality, while recency is represented by exp(-δ(t-t_j)).</w:t>
      </w:r>
    </w:p>
    <w:p w14:paraId="2BEF7EC5" w14:textId="550262C1" w:rsidR="0096742E" w:rsidRDefault="009F6C37">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w:rPr>
                  <w:rFonts w:ascii="Cambria Math" w:hAnsi="Cambria Math"/>
                </w:rPr>
                <m:t>c</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r>
                <w:rPr>
                  <w:rFonts w:ascii="Cambria Math" w:hAnsi="Cambria Math"/>
                </w:rPr>
                <m:t>u</m:t>
              </m:r>
            </m:sub>
            <m:sup/>
            <m:e>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ρ</m:t>
                  </m:r>
                </m:e>
                <m:sub>
                  <m:r>
                    <w:rPr>
                      <w:rFonts w:ascii="Cambria Math" w:hAnsi="Cambria Math"/>
                    </w:rPr>
                    <m:t>j</m:t>
                  </m:r>
                </m:sub>
              </m:sSub>
            </m:e>
          </m:nary>
          <m:r>
            <m:rPr>
              <m:sty m:val="p"/>
            </m:rPr>
            <w:rPr>
              <w:rFonts w:ascii="Cambria Math" w:hAnsi="Cambria Math"/>
            </w:rPr>
            <m:t>exp</m:t>
          </m:r>
          <m:r>
            <w:rPr>
              <w:rFonts w:ascii="Cambria Math" w:hAnsi="Cambria Math"/>
            </w:rPr>
            <m:t>⁡</m:t>
          </m:r>
          <m:d>
            <m:dPr>
              <m:begChr m:val="{"/>
              <m:endChr m:val="}"/>
              <m:ctrlPr>
                <w:rPr>
                  <w:rFonts w:ascii="Cambria Math" w:hAnsi="Cambria Math"/>
                </w:rPr>
              </m:ctrlPr>
            </m:dPr>
            <m:e>
              <m: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e>
              </m:d>
            </m:e>
          </m:d>
          <m:sSub>
            <m:sSubPr>
              <m:ctrlPr>
                <w:rPr>
                  <w:rFonts w:ascii="Cambria Math" w:hAnsi="Cambria Math"/>
                </w:rPr>
              </m:ctrlPr>
            </m:sSubPr>
            <m:e>
              <m:r>
                <w:rPr>
                  <w:rFonts w:ascii="Cambria Math" w:hAnsi="Cambria Math"/>
                </w:rPr>
                <m:t>y</m:t>
              </m:r>
            </m:e>
            <m:sub>
              <m:r>
                <w:rPr>
                  <w:rFonts w:ascii="Cambria Math" w:hAnsi="Cambria Math"/>
                </w:rPr>
                <m:t>j</m:t>
              </m:r>
              <m:r>
                <w:rPr>
                  <w:rFonts w:ascii="Cambria Math" w:hAnsi="Cambria Math"/>
                </w:rPr>
                <m:t>,</m:t>
              </m:r>
              <m:r>
                <w:rPr>
                  <w:rFonts w:ascii="Cambria Math" w:hAnsi="Cambria Math"/>
                </w:rPr>
                <m:t>k</m:t>
              </m:r>
            </m:sub>
          </m:sSub>
          <m:r>
            <w:rPr>
              <w:rFonts w:ascii="Cambria Math" w:hAnsi="Cambria Math"/>
            </w:rPr>
            <m:t>,</m:t>
          </m:r>
          <m:r>
            <w:br/>
          </m:r>
        </m:oMath>
      </m:oMathPara>
    </w:p>
    <w:p w14:paraId="1DDF03FD" w14:textId="77777777" w:rsidR="0096742E" w:rsidRDefault="009F6C37">
      <w:r>
        <w:t xml:space="preserve">where ρ_j is an auditable source-quality weight applied only to already-authorized evidence, and δ is a temporal-decay rate whose unit must be reciprocal to the age variable. Rights therefore determine inclusion rather than acting as a fractional statistical weight. Because quality and recency can yield fractional contributions, the resulting values </w:t>
      </w:r>
      <w:r>
        <w:lastRenderedPageBreak/>
        <w:t>are generalized weighted sufficient statistics rather than literal observation counts; sensitivity analysis should report how conclusions change under alternative weighting and decay choices.</w:t>
      </w:r>
    </w:p>
    <w:p w14:paraId="0FA8D223" w14:textId="77777777" w:rsidR="0096742E" w:rsidRDefault="009F6C37">
      <w:r>
        <w:rPr>
          <w:rFonts w:eastAsia="Times New Roman"/>
          <w:color w:val="232323"/>
        </w:rPr>
        <w:t>Conditional on its parent distribution, the company posterior is:</w:t>
      </w:r>
    </w:p>
    <w:p w14:paraId="5A92384B" w14:textId="70A8AD5E" w:rsidR="0096742E" w:rsidRDefault="009F6C37">
      <m:oMathPara>
        <m:oMath>
          <m:sSub>
            <m:sSubPr>
              <m:ctrlPr>
                <w:rPr>
                  <w:rFonts w:ascii="Cambria Math" w:hAnsi="Cambria Math"/>
                </w:rPr>
              </m:ctrlPr>
            </m:sSubPr>
            <m:e>
              <m:r>
                <w:rPr>
                  <w:rFonts w:ascii="Cambria Math" w:hAnsi="Cambria Math"/>
                </w:rPr>
                <m:t>θ</m:t>
              </m:r>
            </m:e>
            <m:sub>
              <m:r>
                <w:rPr>
                  <w:rFonts w:ascii="Cambria Math" w:hAnsi="Cambria Math"/>
                </w:rPr>
                <m:t>c</m:t>
              </m:r>
              <m:r>
                <w:rPr>
                  <w:rFonts w:ascii="Cambria Math" w:hAnsi="Cambria Math"/>
                </w:rPr>
                <m:t>,</m:t>
              </m:r>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Dirichlet</m:t>
              </m:r>
            </m:fName>
            <m:e>
              <m:r>
                <m:rPr>
                  <m:nor/>
                </m:rPr>
                <w:rPr>
                  <w:rFonts w:ascii="Arial" w:hAnsi="Arial" w:cs="Arial"/>
                </w:rPr>
                <m:t> </m:t>
              </m:r>
            </m:e>
          </m:func>
          <m:d>
            <m:dPr>
              <m:ctrlPr>
                <w:rPr>
                  <w:rFonts w:ascii="Cambria Math" w:hAnsi="Cambria Math"/>
                </w:rPr>
              </m:ctrlPr>
            </m:dPr>
            <m:e>
              <m:sSub>
                <m:sSubPr>
                  <m:ctrlPr>
                    <w:rPr>
                      <w:rFonts w:ascii="Cambria Math" w:hAnsi="Cambria Math"/>
                    </w:rPr>
                  </m:ctrlPr>
                </m:sSubPr>
                <m:e>
                  <m:r>
                    <w:rPr>
                      <w:rFonts w:ascii="Cambria Math" w:hAnsi="Cambria Math"/>
                    </w:rPr>
                    <m:t>κ</m:t>
                  </m:r>
                </m:e>
                <m:sub>
                  <m:r>
                    <w:rPr>
                      <w:rFonts w:ascii="Cambria Math" w:hAnsi="Cambria Math"/>
                    </w:rPr>
                    <m:t>c</m:t>
                  </m:r>
                </m:sub>
              </m:sSub>
              <m:sSub>
                <m:sSubPr>
                  <m:ctrlPr>
                    <w:rPr>
                      <w:rFonts w:ascii="Cambria Math" w:hAnsi="Cambria Math"/>
                    </w:rPr>
                  </m:ctrlPr>
                </m:sSubPr>
                <m:e>
                  <m:r>
                    <w:rPr>
                      <w:rFonts w:ascii="Cambria Math" w:hAnsi="Cambria Math"/>
                    </w:rPr>
                    <m:t>ϕ</m:t>
                  </m:r>
                </m:e>
                <m:sub>
                  <m:r>
                    <w:rPr>
                      <w:rFonts w:ascii="Cambria Math" w:hAnsi="Cambria Math"/>
                    </w:rPr>
                    <m:t>i</m:t>
                  </m:r>
                  <m:d>
                    <m:dPr>
                      <m:ctrlPr>
                        <w:rPr>
                          <w:rFonts w:ascii="Cambria Math" w:hAnsi="Cambria Math"/>
                        </w:rPr>
                      </m:ctrlPr>
                    </m:dPr>
                    <m:e>
                      <m:r>
                        <w:rPr>
                          <w:rFonts w:ascii="Cambria Math" w:hAnsi="Cambria Math"/>
                        </w:rPr>
                        <m:t>c</m:t>
                      </m:r>
                    </m:e>
                  </m:d>
                  <m:r>
                    <w:rPr>
                      <w:rFonts w:ascii="Cambria Math" w:hAnsi="Cambria Math"/>
                    </w:rPr>
                    <m:t>,</m:t>
                  </m:r>
                  <m:r>
                    <w:rPr>
                      <w:rFonts w:ascii="Cambria Math" w:hAnsi="Cambria Math"/>
                    </w:rPr>
                    <m:t>u</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m:t>
                  </m:r>
                  <m: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t</m:t>
                  </m:r>
                </m:e>
              </m:d>
            </m:e>
          </m:d>
          <m:r>
            <w:rPr>
              <w:rFonts w:ascii="Cambria Math" w:hAnsi="Cambria Math"/>
            </w:rPr>
            <m:t>.</m:t>
          </m:r>
          <m:r>
            <w:br/>
          </m:r>
        </m:oMath>
      </m:oMathPara>
    </w:p>
    <w:p w14:paraId="36867C33" w14:textId="77777777" w:rsidR="0096742E" w:rsidRDefault="009F6C37">
      <w:r>
        <w:rPr>
          <w:rFonts w:eastAsia="Times New Roman"/>
          <w:color w:val="232323"/>
        </w:rPr>
        <w:t>Consequently,</w:t>
      </w:r>
    </w:p>
    <w:p w14:paraId="60577A08" w14:textId="76A230FF" w:rsidR="0096742E" w:rsidRDefault="009F6C37">
      <m:oMathPara>
        <m:oMath>
          <m:r>
            <m:rPr>
              <m:scr m:val="double-struck"/>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κ</m:t>
                  </m:r>
                </m:e>
                <m:sub>
                  <m:r>
                    <w:rPr>
                      <w:rFonts w:ascii="Cambria Math" w:hAnsi="Cambria Math"/>
                    </w:rPr>
                    <m:t>c</m:t>
                  </m:r>
                </m:sub>
              </m:sSub>
              <m:sSub>
                <m:sSubPr>
                  <m:ctrlPr>
                    <w:rPr>
                      <w:rFonts w:ascii="Cambria Math" w:hAnsi="Cambria Math"/>
                    </w:rPr>
                  </m:ctrlPr>
                </m:sSubPr>
                <m:e>
                  <m:r>
                    <w:rPr>
                      <w:rFonts w:ascii="Cambria Math" w:hAnsi="Cambria Math"/>
                    </w:rPr>
                    <m:t>ϕ</m:t>
                  </m:r>
                </m:e>
                <m:sub>
                  <m:r>
                    <w:rPr>
                      <w:rFonts w:ascii="Cambria Math" w:hAnsi="Cambria Math"/>
                    </w:rPr>
                    <m:t>i</m:t>
                  </m:r>
                  <m:d>
                    <m:dPr>
                      <m:ctrlPr>
                        <w:rPr>
                          <w:rFonts w:ascii="Cambria Math" w:hAnsi="Cambria Math"/>
                        </w:rPr>
                      </m:ctrlPr>
                    </m:dPr>
                    <m:e>
                      <m:r>
                        <w:rPr>
                          <w:rFonts w:ascii="Cambria Math" w:hAnsi="Cambria Math"/>
                        </w:rPr>
                        <m:t>c</m:t>
                      </m:r>
                    </m:e>
                  </m:d>
                  <m:r>
                    <w:rPr>
                      <w:rFonts w:ascii="Cambria Math" w:hAnsi="Cambria Math"/>
                    </w:rPr>
                    <m:t>,</m:t>
                  </m:r>
                  <m:r>
                    <w:rPr>
                      <w:rFonts w:ascii="Cambria Math" w:hAnsi="Cambria Math"/>
                    </w:rPr>
                    <m:t>u</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κ</m:t>
                  </m:r>
                </m:e>
                <m:sub>
                  <m:r>
                    <w:rPr>
                      <w:rFonts w:ascii="Cambria Math" w:hAnsi="Cambria Math"/>
                    </w:rPr>
                    <m:t>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K</m:t>
                  </m:r>
                </m:sup>
                <m:e>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m:t>
                      </m:r>
                      <m:r>
                        <w:rPr>
                          <w:rFonts w:ascii="Cambria Math" w:hAnsi="Cambria Math"/>
                        </w:rPr>
                        <m:t>,</m:t>
                      </m:r>
                      <m:r>
                        <w:rPr>
                          <w:rFonts w:ascii="Cambria Math" w:hAnsi="Cambria Math"/>
                        </w:rPr>
                        <m:t>u</m:t>
                      </m:r>
                      <m:r>
                        <w:rPr>
                          <w:rFonts w:ascii="Cambria Math" w:hAnsi="Cambria Math"/>
                        </w:rPr>
                        <m:t>,</m:t>
                      </m:r>
                      <m:r>
                        <w:rPr>
                          <w:rFonts w:ascii="Cambria Math" w:hAnsi="Cambria Math"/>
                        </w:rPr>
                        <m:t>j</m:t>
                      </m:r>
                    </m:sub>
                  </m:sSub>
                </m:e>
              </m:nary>
              <m:d>
                <m:dPr>
                  <m:ctrlPr>
                    <w:rPr>
                      <w:rFonts w:ascii="Cambria Math" w:hAnsi="Cambria Math"/>
                    </w:rPr>
                  </m:ctrlPr>
                </m:dPr>
                <m:e>
                  <m:r>
                    <w:rPr>
                      <w:rFonts w:ascii="Cambria Math" w:hAnsi="Cambria Math"/>
                    </w:rPr>
                    <m:t>t</m:t>
                  </m:r>
                </m:e>
              </m:d>
            </m:den>
          </m:f>
          <m:r>
            <w:rPr>
              <w:rFonts w:ascii="Cambria Math" w:hAnsi="Cambria Math"/>
            </w:rPr>
            <m:t>.</m:t>
          </m:r>
          <m:r>
            <w:br/>
          </m:r>
        </m:oMath>
      </m:oMathPara>
    </w:p>
    <w:p w14:paraId="16F16604" w14:textId="77777777" w:rsidR="0096742E" w:rsidRDefault="009F6C37">
      <w:r>
        <w:rPr>
          <w:rFonts w:eastAsia="Times New Roman"/>
          <w:color w:val="232323"/>
        </w:rPr>
        <w:t>With zero qualified company observations, the posterior mean is the applicable industry parent. As effective company evidence accumulates, the company estimate moves continuously away from that parent. This is the formal basis for borrowing without relabeling a prior as company-specific evidence.</w:t>
      </w:r>
    </w:p>
    <w:p w14:paraId="45E36A84" w14:textId="77777777" w:rsidR="0096742E" w:rsidRDefault="009F6C37">
      <w:pPr>
        <w:pStyle w:val="Heading2"/>
        <w:rPr>
          <w:bCs/>
        </w:rPr>
      </w:pPr>
      <w:r>
        <w:rPr>
          <w:bCs/>
        </w:rPr>
        <w:t>5.4 Six-Level Backoff and Routing Mixture</w:t>
      </w:r>
    </w:p>
    <w:p w14:paraId="407A133C" w14:textId="77777777" w:rsidR="0096742E" w:rsidRDefault="009F6C37">
      <w:r>
        <w:rPr>
          <w:rFonts w:eastAsia="Times New Roman"/>
          <w:color w:val="232323"/>
        </w:rPr>
        <w:t>The hierarchy performs statistical borrowing; routing determines whether a Lens is applicable and authorized. When the full parent configuration is sparse or unsupported, AIMS evaluates a declared sequence:</w:t>
      </w:r>
    </w:p>
    <w:p w14:paraId="634CF1F0" w14:textId="77777777" w:rsidR="0096742E" w:rsidRDefault="009F6C37">
      <w:pPr>
        <w:pStyle w:val="TableCaption"/>
      </w:pPr>
      <w:r>
        <w:t>Table 3. Six-level backoff sequence.</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1866"/>
        <w:gridCol w:w="4736"/>
        <w:gridCol w:w="4679"/>
      </w:tblGrid>
      <w:tr w:rsidR="0096742E" w14:paraId="167847E2"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2640B100" w14:textId="77777777" w:rsidR="0096742E" w:rsidRDefault="009F6C37">
            <w:pPr>
              <w:keepNext/>
              <w:spacing w:after="30" w:line="240" w:lineRule="auto"/>
              <w:ind w:firstLine="0"/>
              <w:jc w:val="left"/>
            </w:pPr>
            <w:r>
              <w:rPr>
                <w:rFonts w:ascii="Arial" w:eastAsia="Arial" w:hAnsi="Arial"/>
                <w:b/>
                <w:color w:val="232D37"/>
                <w:sz w:val="16"/>
              </w:rPr>
              <w:t>Level</w:t>
            </w:r>
          </w:p>
        </w:tc>
        <w:tc>
          <w:tcPr>
            <w:tcW w:w="0" w:type="auto"/>
            <w:tcBorders>
              <w:top w:val="nil"/>
            </w:tcBorders>
            <w:shd w:val="clear" w:color="auto" w:fill="DDE7F0"/>
            <w:tcMar>
              <w:top w:w="70" w:type="dxa"/>
              <w:left w:w="90" w:type="dxa"/>
              <w:bottom w:w="70" w:type="dxa"/>
              <w:right w:w="90" w:type="dxa"/>
            </w:tcMar>
            <w:vAlign w:val="center"/>
            <w:hideMark/>
          </w:tcPr>
          <w:p w14:paraId="1AD31C6D" w14:textId="77777777" w:rsidR="0096742E" w:rsidRDefault="009F6C37">
            <w:pPr>
              <w:spacing w:after="30" w:line="240" w:lineRule="auto"/>
              <w:ind w:firstLine="0"/>
              <w:jc w:val="left"/>
            </w:pPr>
            <w:r>
              <w:rPr>
                <w:rFonts w:ascii="Arial" w:eastAsia="Arial" w:hAnsi="Arial"/>
                <w:b/>
                <w:color w:val="232D37"/>
                <w:sz w:val="16"/>
              </w:rPr>
              <w:t>Description</w:t>
            </w:r>
          </w:p>
        </w:tc>
        <w:tc>
          <w:tcPr>
            <w:tcW w:w="0" w:type="auto"/>
            <w:tcBorders>
              <w:top w:val="nil"/>
            </w:tcBorders>
            <w:shd w:val="clear" w:color="auto" w:fill="DDE7F0"/>
            <w:tcMar>
              <w:top w:w="70" w:type="dxa"/>
              <w:left w:w="90" w:type="dxa"/>
              <w:bottom w:w="70" w:type="dxa"/>
              <w:right w:w="90" w:type="dxa"/>
            </w:tcMar>
            <w:vAlign w:val="center"/>
            <w:hideMark/>
          </w:tcPr>
          <w:p w14:paraId="2FF649C1" w14:textId="77777777" w:rsidR="0096742E" w:rsidRDefault="009F6C37">
            <w:pPr>
              <w:spacing w:after="30" w:line="240" w:lineRule="auto"/>
              <w:ind w:firstLine="0"/>
              <w:jc w:val="left"/>
            </w:pPr>
            <w:r>
              <w:rPr>
                <w:rFonts w:ascii="Arial" w:eastAsia="Arial" w:hAnsi="Arial"/>
                <w:b/>
                <w:color w:val="232D37"/>
                <w:sz w:val="16"/>
              </w:rPr>
              <w:t>Backoff Distance</w:t>
            </w:r>
          </w:p>
        </w:tc>
      </w:tr>
      <w:tr w:rsidR="0096742E" w14:paraId="076F2DC7" w14:textId="77777777">
        <w:trPr>
          <w:cantSplit/>
          <w:jc w:val="center"/>
        </w:trPr>
        <w:tc>
          <w:tcPr>
            <w:tcW w:w="0" w:type="auto"/>
            <w:tcMar>
              <w:top w:w="70" w:type="dxa"/>
              <w:left w:w="90" w:type="dxa"/>
              <w:bottom w:w="70" w:type="dxa"/>
              <w:right w:w="90" w:type="dxa"/>
            </w:tcMar>
            <w:vAlign w:val="center"/>
            <w:hideMark/>
          </w:tcPr>
          <w:p w14:paraId="1F6A699E" w14:textId="77777777" w:rsidR="0096742E" w:rsidRDefault="009F6C37">
            <w:pPr>
              <w:spacing w:after="30" w:line="240" w:lineRule="auto"/>
              <w:ind w:firstLine="0"/>
              <w:jc w:val="left"/>
            </w:pPr>
            <w:r>
              <w:rPr>
                <w:rFonts w:ascii="Arial" w:eastAsia="Arial" w:hAnsi="Arial"/>
                <w:color w:val="232D37"/>
                <w:sz w:val="16"/>
              </w:rPr>
              <w:t>L0</w:t>
            </w:r>
          </w:p>
        </w:tc>
        <w:tc>
          <w:tcPr>
            <w:tcW w:w="0" w:type="auto"/>
            <w:tcMar>
              <w:top w:w="70" w:type="dxa"/>
              <w:left w:w="90" w:type="dxa"/>
              <w:bottom w:w="70" w:type="dxa"/>
              <w:right w:w="90" w:type="dxa"/>
            </w:tcMar>
            <w:vAlign w:val="center"/>
            <w:hideMark/>
          </w:tcPr>
          <w:p w14:paraId="506294EF" w14:textId="77777777" w:rsidR="0096742E" w:rsidRDefault="009F6C37">
            <w:pPr>
              <w:spacing w:after="30" w:line="240" w:lineRule="auto"/>
              <w:ind w:firstLine="0"/>
              <w:jc w:val="left"/>
            </w:pPr>
            <w:r>
              <w:rPr>
                <w:rFonts w:ascii="Arial" w:eastAsia="Arial" w:hAnsi="Arial"/>
                <w:color w:val="232D37"/>
                <w:sz w:val="16"/>
              </w:rPr>
              <w:t>Full parent context</w:t>
            </w:r>
          </w:p>
        </w:tc>
        <w:tc>
          <w:tcPr>
            <w:tcW w:w="0" w:type="auto"/>
            <w:tcMar>
              <w:top w:w="70" w:type="dxa"/>
              <w:left w:w="90" w:type="dxa"/>
              <w:bottom w:w="70" w:type="dxa"/>
              <w:right w:w="90" w:type="dxa"/>
            </w:tcMar>
            <w:vAlign w:val="center"/>
            <w:hideMark/>
          </w:tcPr>
          <w:p w14:paraId="70F87A0D" w14:textId="77777777" w:rsidR="0096742E" w:rsidRDefault="009F6C37">
            <w:pPr>
              <w:spacing w:after="30" w:line="240" w:lineRule="auto"/>
              <w:ind w:firstLine="0"/>
              <w:jc w:val="left"/>
            </w:pPr>
            <w:r>
              <w:rPr>
                <w:rFonts w:ascii="Arial" w:eastAsia="Arial" w:hAnsi="Arial"/>
                <w:color w:val="232D37"/>
                <w:sz w:val="16"/>
              </w:rPr>
              <w:t>0</w:t>
            </w:r>
          </w:p>
        </w:tc>
      </w:tr>
      <w:tr w:rsidR="0096742E" w14:paraId="497B9A92" w14:textId="77777777">
        <w:trPr>
          <w:cantSplit/>
          <w:jc w:val="center"/>
        </w:trPr>
        <w:tc>
          <w:tcPr>
            <w:tcW w:w="0" w:type="auto"/>
            <w:shd w:val="clear" w:color="auto" w:fill="F7F9FB"/>
            <w:tcMar>
              <w:top w:w="70" w:type="dxa"/>
              <w:left w:w="90" w:type="dxa"/>
              <w:bottom w:w="70" w:type="dxa"/>
              <w:right w:w="90" w:type="dxa"/>
            </w:tcMar>
            <w:vAlign w:val="center"/>
            <w:hideMark/>
          </w:tcPr>
          <w:p w14:paraId="4F3BD1E1" w14:textId="77777777" w:rsidR="0096742E" w:rsidRDefault="009F6C37">
            <w:pPr>
              <w:spacing w:after="30" w:line="240" w:lineRule="auto"/>
              <w:ind w:firstLine="0"/>
              <w:jc w:val="left"/>
            </w:pPr>
            <w:r>
              <w:rPr>
                <w:rFonts w:ascii="Arial" w:eastAsia="Arial" w:hAnsi="Arial"/>
                <w:color w:val="232D37"/>
                <w:sz w:val="16"/>
              </w:rPr>
              <w:t>L1</w:t>
            </w:r>
          </w:p>
        </w:tc>
        <w:tc>
          <w:tcPr>
            <w:tcW w:w="0" w:type="auto"/>
            <w:shd w:val="clear" w:color="auto" w:fill="F7F9FB"/>
            <w:tcMar>
              <w:top w:w="70" w:type="dxa"/>
              <w:left w:w="90" w:type="dxa"/>
              <w:bottom w:w="70" w:type="dxa"/>
              <w:right w:w="90" w:type="dxa"/>
            </w:tcMar>
            <w:vAlign w:val="center"/>
            <w:hideMark/>
          </w:tcPr>
          <w:p w14:paraId="44EF937B" w14:textId="77777777" w:rsidR="0096742E" w:rsidRDefault="009F6C37">
            <w:pPr>
              <w:spacing w:after="30" w:line="240" w:lineRule="auto"/>
              <w:ind w:firstLine="0"/>
              <w:jc w:val="left"/>
            </w:pPr>
            <w:r>
              <w:rPr>
                <w:rFonts w:ascii="Arial" w:eastAsia="Arial" w:hAnsi="Arial"/>
                <w:color w:val="232D37"/>
                <w:sz w:val="16"/>
              </w:rPr>
              <w:t>Drop one parent</w:t>
            </w:r>
          </w:p>
        </w:tc>
        <w:tc>
          <w:tcPr>
            <w:tcW w:w="0" w:type="auto"/>
            <w:shd w:val="clear" w:color="auto" w:fill="F7F9FB"/>
            <w:tcMar>
              <w:top w:w="70" w:type="dxa"/>
              <w:left w:w="90" w:type="dxa"/>
              <w:bottom w:w="70" w:type="dxa"/>
              <w:right w:w="90" w:type="dxa"/>
            </w:tcMar>
            <w:vAlign w:val="center"/>
            <w:hideMark/>
          </w:tcPr>
          <w:p w14:paraId="35F9C15B" w14:textId="77777777" w:rsidR="0096742E" w:rsidRDefault="009F6C37">
            <w:pPr>
              <w:spacing w:after="30" w:line="240" w:lineRule="auto"/>
              <w:ind w:firstLine="0"/>
              <w:jc w:val="left"/>
            </w:pPr>
            <w:r>
              <w:rPr>
                <w:rFonts w:ascii="Arial" w:eastAsia="Arial" w:hAnsi="Arial"/>
                <w:color w:val="232D37"/>
                <w:sz w:val="16"/>
              </w:rPr>
              <w:t>1</w:t>
            </w:r>
          </w:p>
        </w:tc>
      </w:tr>
      <w:tr w:rsidR="0096742E" w14:paraId="54900FDE" w14:textId="77777777">
        <w:trPr>
          <w:cantSplit/>
          <w:jc w:val="center"/>
        </w:trPr>
        <w:tc>
          <w:tcPr>
            <w:tcW w:w="0" w:type="auto"/>
            <w:tcMar>
              <w:top w:w="70" w:type="dxa"/>
              <w:left w:w="90" w:type="dxa"/>
              <w:bottom w:w="70" w:type="dxa"/>
              <w:right w:w="90" w:type="dxa"/>
            </w:tcMar>
            <w:vAlign w:val="center"/>
            <w:hideMark/>
          </w:tcPr>
          <w:p w14:paraId="25E5BD11" w14:textId="77777777" w:rsidR="0096742E" w:rsidRDefault="009F6C37">
            <w:pPr>
              <w:spacing w:after="30" w:line="240" w:lineRule="auto"/>
              <w:ind w:firstLine="0"/>
              <w:jc w:val="left"/>
            </w:pPr>
            <w:r>
              <w:rPr>
                <w:rFonts w:ascii="Arial" w:eastAsia="Arial" w:hAnsi="Arial"/>
                <w:color w:val="232D37"/>
                <w:sz w:val="16"/>
              </w:rPr>
              <w:t>L2</w:t>
            </w:r>
          </w:p>
        </w:tc>
        <w:tc>
          <w:tcPr>
            <w:tcW w:w="0" w:type="auto"/>
            <w:tcMar>
              <w:top w:w="70" w:type="dxa"/>
              <w:left w:w="90" w:type="dxa"/>
              <w:bottom w:w="70" w:type="dxa"/>
              <w:right w:w="90" w:type="dxa"/>
            </w:tcMar>
            <w:vAlign w:val="center"/>
            <w:hideMark/>
          </w:tcPr>
          <w:p w14:paraId="7992E979" w14:textId="77777777" w:rsidR="0096742E" w:rsidRDefault="009F6C37">
            <w:pPr>
              <w:spacing w:after="30" w:line="240" w:lineRule="auto"/>
              <w:ind w:firstLine="0"/>
              <w:jc w:val="left"/>
            </w:pPr>
            <w:r>
              <w:rPr>
                <w:rFonts w:ascii="Arial" w:eastAsia="Arial" w:hAnsi="Arial"/>
                <w:color w:val="232D37"/>
                <w:sz w:val="16"/>
              </w:rPr>
              <w:t>Drop two parents</w:t>
            </w:r>
          </w:p>
        </w:tc>
        <w:tc>
          <w:tcPr>
            <w:tcW w:w="0" w:type="auto"/>
            <w:tcMar>
              <w:top w:w="70" w:type="dxa"/>
              <w:left w:w="90" w:type="dxa"/>
              <w:bottom w:w="70" w:type="dxa"/>
              <w:right w:w="90" w:type="dxa"/>
            </w:tcMar>
            <w:vAlign w:val="center"/>
            <w:hideMark/>
          </w:tcPr>
          <w:p w14:paraId="1413BEEC" w14:textId="77777777" w:rsidR="0096742E" w:rsidRDefault="009F6C37">
            <w:pPr>
              <w:spacing w:after="30" w:line="240" w:lineRule="auto"/>
              <w:ind w:firstLine="0"/>
              <w:jc w:val="left"/>
            </w:pPr>
            <w:r>
              <w:rPr>
                <w:rFonts w:ascii="Arial" w:eastAsia="Arial" w:hAnsi="Arial"/>
                <w:color w:val="232D37"/>
                <w:sz w:val="16"/>
              </w:rPr>
              <w:t>2</w:t>
            </w:r>
          </w:p>
        </w:tc>
      </w:tr>
      <w:tr w:rsidR="0096742E" w14:paraId="2B7B89A0" w14:textId="77777777">
        <w:trPr>
          <w:cantSplit/>
          <w:jc w:val="center"/>
        </w:trPr>
        <w:tc>
          <w:tcPr>
            <w:tcW w:w="0" w:type="auto"/>
            <w:shd w:val="clear" w:color="auto" w:fill="F7F9FB"/>
            <w:tcMar>
              <w:top w:w="70" w:type="dxa"/>
              <w:left w:w="90" w:type="dxa"/>
              <w:bottom w:w="70" w:type="dxa"/>
              <w:right w:w="90" w:type="dxa"/>
            </w:tcMar>
            <w:vAlign w:val="center"/>
            <w:hideMark/>
          </w:tcPr>
          <w:p w14:paraId="35BD90F7" w14:textId="77777777" w:rsidR="0096742E" w:rsidRDefault="009F6C37">
            <w:pPr>
              <w:spacing w:after="30" w:line="240" w:lineRule="auto"/>
              <w:ind w:firstLine="0"/>
              <w:jc w:val="left"/>
            </w:pPr>
            <w:r>
              <w:rPr>
                <w:rFonts w:ascii="Arial" w:eastAsia="Arial" w:hAnsi="Arial"/>
                <w:color w:val="232D37"/>
                <w:sz w:val="16"/>
              </w:rPr>
              <w:t>L3</w:t>
            </w:r>
          </w:p>
        </w:tc>
        <w:tc>
          <w:tcPr>
            <w:tcW w:w="0" w:type="auto"/>
            <w:shd w:val="clear" w:color="auto" w:fill="F7F9FB"/>
            <w:tcMar>
              <w:top w:w="70" w:type="dxa"/>
              <w:left w:w="90" w:type="dxa"/>
              <w:bottom w:w="70" w:type="dxa"/>
              <w:right w:w="90" w:type="dxa"/>
            </w:tcMar>
            <w:vAlign w:val="center"/>
            <w:hideMark/>
          </w:tcPr>
          <w:p w14:paraId="446F1AFD" w14:textId="77777777" w:rsidR="0096742E" w:rsidRDefault="009F6C37">
            <w:pPr>
              <w:spacing w:after="30" w:line="240" w:lineRule="auto"/>
              <w:ind w:firstLine="0"/>
              <w:jc w:val="left"/>
            </w:pPr>
            <w:r>
              <w:rPr>
                <w:rFonts w:ascii="Arial" w:eastAsia="Arial" w:hAnsi="Arial"/>
                <w:color w:val="232D37"/>
                <w:sz w:val="16"/>
              </w:rPr>
              <w:t>Industry context</w:t>
            </w:r>
          </w:p>
        </w:tc>
        <w:tc>
          <w:tcPr>
            <w:tcW w:w="0" w:type="auto"/>
            <w:shd w:val="clear" w:color="auto" w:fill="F7F9FB"/>
            <w:tcMar>
              <w:top w:w="70" w:type="dxa"/>
              <w:left w:w="90" w:type="dxa"/>
              <w:bottom w:w="70" w:type="dxa"/>
              <w:right w:w="90" w:type="dxa"/>
            </w:tcMar>
            <w:vAlign w:val="center"/>
            <w:hideMark/>
          </w:tcPr>
          <w:p w14:paraId="756B2BC8" w14:textId="77777777" w:rsidR="0096742E" w:rsidRDefault="009F6C37">
            <w:pPr>
              <w:spacing w:after="30" w:line="240" w:lineRule="auto"/>
              <w:ind w:firstLine="0"/>
              <w:jc w:val="left"/>
            </w:pPr>
            <w:r>
              <w:rPr>
                <w:rFonts w:ascii="Arial" w:eastAsia="Arial" w:hAnsi="Arial"/>
                <w:color w:val="232D37"/>
                <w:sz w:val="16"/>
              </w:rPr>
              <w:t>3</w:t>
            </w:r>
          </w:p>
        </w:tc>
      </w:tr>
      <w:tr w:rsidR="0096742E" w14:paraId="7BC14579" w14:textId="77777777">
        <w:trPr>
          <w:cantSplit/>
          <w:jc w:val="center"/>
        </w:trPr>
        <w:tc>
          <w:tcPr>
            <w:tcW w:w="0" w:type="auto"/>
            <w:tcMar>
              <w:top w:w="70" w:type="dxa"/>
              <w:left w:w="90" w:type="dxa"/>
              <w:bottom w:w="70" w:type="dxa"/>
              <w:right w:w="90" w:type="dxa"/>
            </w:tcMar>
            <w:vAlign w:val="center"/>
            <w:hideMark/>
          </w:tcPr>
          <w:p w14:paraId="3D5B7D3E" w14:textId="77777777" w:rsidR="0096742E" w:rsidRDefault="009F6C37">
            <w:pPr>
              <w:spacing w:after="30" w:line="240" w:lineRule="auto"/>
              <w:ind w:firstLine="0"/>
              <w:jc w:val="left"/>
            </w:pPr>
            <w:r>
              <w:rPr>
                <w:rFonts w:ascii="Arial" w:eastAsia="Arial" w:hAnsi="Arial"/>
                <w:color w:val="232D37"/>
                <w:sz w:val="16"/>
              </w:rPr>
              <w:t>L4</w:t>
            </w:r>
          </w:p>
        </w:tc>
        <w:tc>
          <w:tcPr>
            <w:tcW w:w="0" w:type="auto"/>
            <w:tcMar>
              <w:top w:w="70" w:type="dxa"/>
              <w:left w:w="90" w:type="dxa"/>
              <w:bottom w:w="70" w:type="dxa"/>
              <w:right w:w="90" w:type="dxa"/>
            </w:tcMar>
            <w:vAlign w:val="center"/>
            <w:hideMark/>
          </w:tcPr>
          <w:p w14:paraId="79E07D40" w14:textId="77777777" w:rsidR="0096742E" w:rsidRDefault="009F6C37">
            <w:pPr>
              <w:spacing w:after="30" w:line="240" w:lineRule="auto"/>
              <w:ind w:firstLine="0"/>
              <w:jc w:val="left"/>
            </w:pPr>
            <w:r>
              <w:rPr>
                <w:rFonts w:ascii="Arial" w:eastAsia="Arial" w:hAnsi="Arial"/>
                <w:color w:val="232D37"/>
                <w:sz w:val="16"/>
              </w:rPr>
              <w:t>Archetype context</w:t>
            </w:r>
          </w:p>
        </w:tc>
        <w:tc>
          <w:tcPr>
            <w:tcW w:w="0" w:type="auto"/>
            <w:tcMar>
              <w:top w:w="70" w:type="dxa"/>
              <w:left w:w="90" w:type="dxa"/>
              <w:bottom w:w="70" w:type="dxa"/>
              <w:right w:w="90" w:type="dxa"/>
            </w:tcMar>
            <w:vAlign w:val="center"/>
            <w:hideMark/>
          </w:tcPr>
          <w:p w14:paraId="3431F643" w14:textId="77777777" w:rsidR="0096742E" w:rsidRDefault="009F6C37">
            <w:pPr>
              <w:spacing w:after="30" w:line="240" w:lineRule="auto"/>
              <w:ind w:firstLine="0"/>
              <w:jc w:val="left"/>
            </w:pPr>
            <w:r>
              <w:rPr>
                <w:rFonts w:ascii="Arial" w:eastAsia="Arial" w:hAnsi="Arial"/>
                <w:color w:val="232D37"/>
                <w:sz w:val="16"/>
              </w:rPr>
              <w:t>4</w:t>
            </w:r>
          </w:p>
        </w:tc>
      </w:tr>
      <w:tr w:rsidR="0096742E" w14:paraId="17ADB046" w14:textId="77777777">
        <w:trPr>
          <w:cantSplit/>
          <w:jc w:val="center"/>
        </w:trPr>
        <w:tc>
          <w:tcPr>
            <w:tcW w:w="0" w:type="auto"/>
            <w:shd w:val="clear" w:color="auto" w:fill="F7F9FB"/>
            <w:tcMar>
              <w:top w:w="70" w:type="dxa"/>
              <w:left w:w="90" w:type="dxa"/>
              <w:bottom w:w="70" w:type="dxa"/>
              <w:right w:w="90" w:type="dxa"/>
            </w:tcMar>
            <w:vAlign w:val="center"/>
            <w:hideMark/>
          </w:tcPr>
          <w:p w14:paraId="40932AB1" w14:textId="77777777" w:rsidR="0096742E" w:rsidRDefault="009F6C37">
            <w:pPr>
              <w:spacing w:after="30" w:line="240" w:lineRule="auto"/>
              <w:ind w:firstLine="0"/>
              <w:jc w:val="left"/>
            </w:pPr>
            <w:r>
              <w:rPr>
                <w:rFonts w:ascii="Arial" w:eastAsia="Arial" w:hAnsi="Arial"/>
                <w:color w:val="232D37"/>
                <w:sz w:val="16"/>
              </w:rPr>
              <w:t>L5</w:t>
            </w:r>
          </w:p>
        </w:tc>
        <w:tc>
          <w:tcPr>
            <w:tcW w:w="0" w:type="auto"/>
            <w:shd w:val="clear" w:color="auto" w:fill="F7F9FB"/>
            <w:tcMar>
              <w:top w:w="70" w:type="dxa"/>
              <w:left w:w="90" w:type="dxa"/>
              <w:bottom w:w="70" w:type="dxa"/>
              <w:right w:w="90" w:type="dxa"/>
            </w:tcMar>
            <w:vAlign w:val="center"/>
            <w:hideMark/>
          </w:tcPr>
          <w:p w14:paraId="68D9AC54" w14:textId="77777777" w:rsidR="0096742E" w:rsidRDefault="009F6C37">
            <w:pPr>
              <w:spacing w:after="30" w:line="240" w:lineRule="auto"/>
              <w:ind w:firstLine="0"/>
              <w:jc w:val="left"/>
            </w:pPr>
            <w:r>
              <w:rPr>
                <w:rFonts w:ascii="Arial" w:eastAsia="Arial" w:hAnsi="Arial"/>
                <w:color w:val="232D37"/>
                <w:sz w:val="16"/>
              </w:rPr>
              <w:t>Generic context</w:t>
            </w:r>
          </w:p>
        </w:tc>
        <w:tc>
          <w:tcPr>
            <w:tcW w:w="0" w:type="auto"/>
            <w:shd w:val="clear" w:color="auto" w:fill="F7F9FB"/>
            <w:tcMar>
              <w:top w:w="70" w:type="dxa"/>
              <w:left w:w="90" w:type="dxa"/>
              <w:bottom w:w="70" w:type="dxa"/>
              <w:right w:w="90" w:type="dxa"/>
            </w:tcMar>
            <w:vAlign w:val="center"/>
            <w:hideMark/>
          </w:tcPr>
          <w:p w14:paraId="01B4FF2A" w14:textId="77777777" w:rsidR="0096742E" w:rsidRDefault="009F6C37">
            <w:pPr>
              <w:spacing w:after="30" w:line="240" w:lineRule="auto"/>
              <w:ind w:firstLine="0"/>
              <w:jc w:val="left"/>
            </w:pPr>
            <w:r>
              <w:rPr>
                <w:rFonts w:ascii="Arial" w:eastAsia="Arial" w:hAnsi="Arial"/>
                <w:color w:val="232D37"/>
                <w:sz w:val="16"/>
              </w:rPr>
              <w:t>5</w:t>
            </w:r>
          </w:p>
        </w:tc>
      </w:tr>
    </w:tbl>
    <w:p w14:paraId="7D5021E1" w14:textId="36CC016E" w:rsidR="0096742E" w:rsidRDefault="00B315C2">
      <w:r>
        <w:t>Let ℓ index supplied routing levels, with backoff distance d_ℓ. Define the raw routing score r_ℓ(x_t) = a_ℓ s_ℓ(x_t) c_ℓ(x_t) γ^(d_ℓ). The active set E(x_t) contains exactly those levels whose raw score is positive and whose supplied distribution retains positive mass on the permitted category set. For each active level, q^(ℓ) is the distribution restricted to that set and normalized. The routing decision distribution is:</w:t>
      </w:r>
    </w:p>
    <w:p w14:paraId="0630AB47" w14:textId="0925A180" w:rsidR="0096742E" w:rsidRDefault="00B315C2">
      <m:oMathPara>
        <m:oMath>
          <m:sSub>
            <m:e>
              <m:r>
                <m:t xml:space="preserve">q</m:t>
              </m:r>
            </m:e>
            <m:sub>
              <m:r>
                <m:t xml:space="preserve">route,k</m:t>
              </m:r>
            </m:sub>
          </m:sSub>
          <m:r>
            <m:t xml:space="preserve">(</m:t>
          </m:r>
          <m:sSub>
            <m:e>
              <m:r>
                <m:t xml:space="preserve">x</m:t>
              </m:r>
            </m:e>
            <m:sub>
              <m:r>
                <m:t xml:space="preserve">t</m:t>
              </m:r>
            </m:sub>
          </m:sSub>
          <m:r>
            <m:t xml:space="preserve">)</m:t>
          </m:r>
          <m:r>
            <m:t xml:space="preserve"> = </m:t>
          </m:r>
          <m:nary>
            <m:naryPr>
              <m:chr m:val="∑"/>
              <m:limLoc m:val="undOvr"/>
              <m:supHide m:val="1"/>
            </m:naryPr>
            <m:sub>
              <m:r>
                <m:t xml:space="preserve">ℓ∈E</m:t>
              </m:r>
              <m:r>
                <m:t xml:space="preserve">(</m:t>
              </m:r>
              <m:sSub>
                <m:e>
                  <m:r>
                    <m:t xml:space="preserve">x</m:t>
                  </m:r>
                </m:e>
                <m:sub>
                  <m:r>
                    <m:t xml:space="preserve">t</m:t>
                  </m:r>
                </m:sub>
              </m:sSub>
              <m:r>
                <m:t xml:space="preserve">)</m:t>
              </m:r>
            </m:sub>
            <m:sup/>
            <m:e>
              <m:sSub>
                <m:e>
                  <m:r>
                    <m:t xml:space="preserve">ω</m:t>
                  </m:r>
                </m:e>
                <m:sub>
                  <m:r>
                    <m:t xml:space="preserve">ℓ</m:t>
                  </m:r>
                </m:sub>
              </m:sSub>
              <m:r>
                <m:t xml:space="preserve">(</m:t>
              </m:r>
              <m:sSub>
                <m:e>
                  <m:r>
                    <m:t xml:space="preserve">x</m:t>
                  </m:r>
                </m:e>
                <m:sub>
                  <m:r>
                    <m:t xml:space="preserve">t</m:t>
                  </m:r>
                </m:sub>
              </m:sSub>
              <m:r>
                <m:t xml:space="preserve">)</m:t>
              </m:r>
              <m:sSubSup>
                <m:e>
                  <m:r>
                    <m:t xml:space="preserve">q</m:t>
                  </m:r>
                </m:e>
                <m:sub>
                  <m:r>
                    <m:t xml:space="preserve">k</m:t>
                  </m:r>
                </m:sub>
                <m:sup>
                  <m:r>
                    <m:t xml:space="preserve">(ℓ)</m:t>
                  </m:r>
                </m:sup>
              </m:sSubSup>
              <m:r>
                <m:t xml:space="preserve">(</m:t>
              </m:r>
              <m:sSub>
                <m:e>
                  <m:r>
                    <m:t xml:space="preserve">x</m:t>
                  </m:r>
                </m:e>
                <m:sub>
                  <m:r>
                    <m:t xml:space="preserve">t</m:t>
                  </m:r>
                </m:sub>
              </m:sSub>
              <m:r>
                <m:t xml:space="preserve">)</m:t>
              </m:r>
            </m:e>
          </m:nary>
          <m:r>
            <m:t xml:space="preserve">,</m:t>
          </m:r>
        </m:oMath>
      </m:oMathPara>
    </w:p>
    <w:p w14:paraId="1427840F" w14:textId="304180D2" w:rsidR="0096742E" w:rsidRDefault="00B315C2">
      <w:r>
        <w:rPr>
          <w:rFonts w:eastAsia="Times New Roman"/>
          <w:color w:val="232323"/>
        </w:rPr>
        <w:t>The policy routing weights are obtained by normalizing the raw scores over the active routing set:</w:t>
      </w:r>
    </w:p>
    <w:p w14:paraId="4B01EEF1" w14:textId="5874DAB0" w:rsidR="0096742E" w:rsidRDefault="00B315C2">
      <m:oMathPara>
        <m:oMath>
          <m:sSub>
            <m:e>
              <m:r>
                <m:t xml:space="preserve">r</m:t>
              </m:r>
            </m:e>
            <m:sub>
              <m:r>
                <m:t xml:space="preserve">ℓ</m:t>
              </m:r>
            </m:sub>
          </m:sSub>
          <m:r>
            <m:t xml:space="preserve">(</m:t>
          </m:r>
          <m:sSub>
            <m:e>
              <m:r>
                <m:t xml:space="preserve">x</m:t>
              </m:r>
            </m:e>
            <m:sub>
              <m:r>
                <m:t xml:space="preserve">t</m:t>
              </m:r>
            </m:sub>
          </m:sSub>
          <m:r>
            <m:t xml:space="preserve">)</m:t>
          </m:r>
          <m:r>
            <m:t xml:space="preserve"> = </m:t>
          </m:r>
          <m:sSub>
            <m:e>
              <m:r>
                <m:t xml:space="preserve">a</m:t>
              </m:r>
            </m:e>
            <m:sub>
              <m:r>
                <m:t xml:space="preserve">ℓ</m:t>
              </m:r>
            </m:sub>
          </m:sSub>
          <m:sSub>
            <m:e>
              <m:r>
                <m:t xml:space="preserve">s</m:t>
              </m:r>
            </m:e>
            <m:sub>
              <m:r>
                <m:t xml:space="preserve">ℓ</m:t>
              </m:r>
            </m:sub>
          </m:sSub>
          <m:r>
            <m:t xml:space="preserve">(</m:t>
          </m:r>
          <m:sSub>
            <m:e>
              <m:r>
                <m:t xml:space="preserve">x</m:t>
              </m:r>
            </m:e>
            <m:sub>
              <m:r>
                <m:t xml:space="preserve">t</m:t>
              </m:r>
            </m:sub>
          </m:sSub>
          <m:r>
            <m:t xml:space="preserve">)</m:t>
          </m:r>
          <m:sSub>
            <m:e>
              <m:r>
                <m:t xml:space="preserve">c</m:t>
              </m:r>
            </m:e>
            <m:sub>
              <m:r>
                <m:t xml:space="preserve">ℓ</m:t>
              </m:r>
            </m:sub>
          </m:sSub>
          <m:r>
            <m:t xml:space="preserve">(</m:t>
          </m:r>
          <m:sSub>
            <m:e>
              <m:r>
                <m:t xml:space="preserve">x</m:t>
              </m:r>
            </m:e>
            <m:sub>
              <m:r>
                <m:t xml:space="preserve">t</m:t>
              </m:r>
            </m:sub>
          </m:sSub>
          <m:r>
            <m:t xml:space="preserve">)</m:t>
          </m:r>
          <m:sSup>
            <m:e>
              <m:r>
                <m:t xml:space="preserve">γ</m:t>
              </m:r>
            </m:e>
            <m:sup>
              <m:sSub>
                <m:e>
                  <m:r>
                    <m:t xml:space="preserve">d</m:t>
                  </m:r>
                </m:e>
                <m:sub>
                  <m:r>
                    <m:t xml:space="preserve">ℓ</m:t>
                  </m:r>
                </m:sub>
              </m:sSub>
            </m:sup>
          </m:sSup>
          <m:r>
            <m:t xml:space="preserve">,    </m:t>
          </m:r>
          <m:sSub>
            <m:e>
              <m:r>
                <m:t xml:space="preserve">ω</m:t>
              </m:r>
            </m:e>
            <m:sub>
              <m:r>
                <m:t xml:space="preserve">ℓ</m:t>
              </m:r>
            </m:sub>
          </m:sSub>
          <m:r>
            <m:t xml:space="preserve">(</m:t>
          </m:r>
          <m:sSub>
            <m:e>
              <m:r>
                <m:t xml:space="preserve">x</m:t>
              </m:r>
            </m:e>
            <m:sub>
              <m:r>
                <m:t xml:space="preserve">t</m:t>
              </m:r>
            </m:sub>
          </m:sSub>
          <m:r>
            <m:t xml:space="preserve">)</m:t>
          </m:r>
          <m:r>
            <m:t xml:space="preserve"> = </m:t>
          </m:r>
          <m:f>
            <m:num>
              <m:sSub>
                <m:e>
                  <m:r>
                    <m:t xml:space="preserve">r</m:t>
                  </m:r>
                </m:e>
                <m:sub>
                  <m:r>
                    <m:t xml:space="preserve">ℓ</m:t>
                  </m:r>
                </m:sub>
              </m:sSub>
              <m:r>
                <m:t xml:space="preserve">(</m:t>
              </m:r>
              <m:sSub>
                <m:e>
                  <m:r>
                    <m:t xml:space="preserve">x</m:t>
                  </m:r>
                </m:e>
                <m:sub>
                  <m:r>
                    <m:t xml:space="preserve">t</m:t>
                  </m:r>
                </m:sub>
              </m:sSub>
              <m:r>
                <m:t xml:space="preserve">)</m:t>
              </m:r>
            </m:num>
            <m:den>
              <m:nary>
                <m:naryPr>
                  <m:chr m:val="∑"/>
                  <m:limLoc m:val="undOvr"/>
                  <m:supHide m:val="1"/>
                </m:naryPr>
                <m:sub>
                  <m:r>
                    <m:t xml:space="preserve">m∈E</m:t>
                  </m:r>
                  <m:r>
                    <m:t xml:space="preserve">(</m:t>
                  </m:r>
                  <m:sSub>
                    <m:e>
                      <m:r>
                        <m:t xml:space="preserve">x</m:t>
                      </m:r>
                    </m:e>
                    <m:sub>
                      <m:r>
                        <m:t xml:space="preserve">t</m:t>
                      </m:r>
                    </m:sub>
                  </m:sSub>
                  <m:r>
                    <m:t xml:space="preserve">)</m:t>
                  </m:r>
                </m:sub>
                <m:sup/>
                <m:e>
                  <m:sSub>
                    <m:e>
                      <m:r>
                        <m:t xml:space="preserve">r</m:t>
                      </m:r>
                    </m:e>
                    <m:sub>
                      <m:r>
                        <m:t xml:space="preserve">m</m:t>
                      </m:r>
                    </m:sub>
                  </m:sSub>
                  <m:r>
                    <m:t xml:space="preserve">(</m:t>
                  </m:r>
                  <m:sSub>
                    <m:e>
                      <m:r>
                        <m:t xml:space="preserve">x</m:t>
                      </m:r>
                    </m:e>
                    <m:sub>
                      <m:r>
                        <m:t xml:space="preserve">t</m:t>
                      </m:r>
                    </m:sub>
                  </m:sSub>
                  <m:r>
                    <m:t xml:space="preserve">)</m:t>
                  </m:r>
                </m:e>
              </m:nary>
            </m:den>
          </m:f>
          <m:r>
            <m:t xml:space="preserve">.</m:t>
          </m:r>
        </m:oMath>
      </m:oMathPara>
    </w:p>
    <w:p w14:paraId="243875EF" w14:textId="18F350E7" w:rsidR="0096742E" w:rsidRDefault="00B315C2">
      <w:r>
        <w:t>At each level ℓ, authorization a_ℓ and structural applicability s_ℓ are binary eligibility gates. The declared evidence-coverage score c_ℓ lies in [0,1] and is a policy-routing input, not a calibrated probability and not the data-support score C_data defined below. The discount γ lies in (0,1]. Authorization and applicability determine eligibility; declared coverage and backoff distance determine relative contribution among active levels.</w:t>
      </w:r>
    </w:p>
    <w:p>
      <w:pPr/>
      <w:r>
        <w:t>The coverage values c_L0=0.78, c_L3=0.92, and c_L5=1.00 used in Experiments 1A and 6 are declared fixture constants, not empirically estimated or calibrated coverage probabilities. The public reference has no automatic EvidencePacket-to-coverage mapping. Estimating and validating coverage remains future work.</w:t>
      </w:r>
    </w:p>
    <w:p w14:paraId="25111842" w14:textId="0172D3EE" w:rsidR="0096742E" w:rsidRDefault="00B315C2">
      <w:r>
        <w:t xml:space="preserve">This convex mixture provides a quantitative provenance decomposition and makes borrowed context an explicit model state. It is a governance-oriented routing decision distribution, not a second Bayesian update, not Bayesian model averaging, and its weights are not posterior model probabilities. A component with zero permitted mass is excluded rather than normalized into an artificial uniform distribution; if no authorized and applicable component </w:t>
      </w:r>
      <w:r>
        <w:lastRenderedPageBreak/>
        <w:t>retains supported permitted mass, the runtime fails closed through abstention. Because L0 may already contain broader-context influence through hierarchical shrinkage, routing can introduce additional smoothing; Experiment 6 quantifies that regime-dependent overlap rather than assuming the two mechanisms are numerically non-redundant.</w:t>
      </w:r>
    </w:p>
    <w:p w14:paraId="1BDC6BED" w14:textId="240710D4" w:rsidR="0096742E" w:rsidRDefault="00B315C2">
      <w:pPr>
        <w:pStyle w:val="Heading2"/>
        <w:rPr>
          <w:bCs/>
        </w:rPr>
      </w:pPr>
      <w:r>
        <w:rPr>
          <w:bCs/>
        </w:rPr>
        <w:t>5.5 Uncertainty, Calibration Protocol, and Online Learning</w:t>
      </w:r>
    </w:p>
    <w:p w14:paraId="722535AA" w14:textId="775D59BD" w:rsidR="0096742E" w:rsidRDefault="00B315C2">
      <w:r>
        <w:t>Three numerical objects are distinguished: the model-internal category distribution p_Θ(k|x,L); the policy-constrained masked distribution q^mask_k(x,L), denoted q_k in Equation 3; and the routing decision distribution q^route_k(x). In practice-only mode, these are diagnostic distributions used to order exercises, not calibrated probabilities of a named employer’s behavior. A Dirichlet posterior provides marginal credible intervals conditional on its supplied parameter vector. Under the public recursive plug-in hierarchy, that vector uses a plug-in parent distribution; the intervals therefore do not propagate upper-level posterior uncertainty. Experiment 5 examines this boundary in a synthetic binary latent-parameter hierarchy-approximation benchmark. Effective evidence mass n_eff sums authorized, quality-weighted, temporally decayed evidence retained on the permitted category set. A normalized entropy summarizes ambiguity among permitted categories:</w:t>
      </w:r>
    </w:p>
    <w:p w14:paraId="1888C168" w14:textId="764951A8" w:rsidR="0096742E" w:rsidRDefault="00B315C2">
      <m:oMathPara>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,L</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log</m:t>
                      </m:r>
                      <m:ctrlPr>
                        <w:rPr>
                          <w:rFonts w:ascii="Cambria Math" w:hAnsi="Cambria Math"/>
                          <w:i/>
                        </w:rPr>
                      </m:ctrlPr>
                    </m:fName>
                    <m:e>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L</m:t>
                          </m:r>
                        </m:sub>
                      </m:sSub>
                    </m:e>
                  </m:func>
                </m:den>
              </m:f>
            </m:e>
          </m:d>
          <m:nary>
            <m:naryPr>
              <m:chr m:val="∑"/>
              <m:supHide m:val="1"/>
              <m:ctrlPr>
                <w:rPr>
                  <w:rFonts w:ascii="Cambria Math" w:hAnsi="Cambria Math"/>
                  <w:i/>
                </w:rPr>
              </m:ctrlPr>
            </m:naryPr>
            <m:sub>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k</m:t>
                  </m:r>
                </m:sub>
              </m:sSub>
              <m:r>
                <w:rPr>
                  <w:rFonts w:ascii="Cambria Math" w:hAnsi="Cambria Math"/>
                </w:rPr>
                <m:t>=1</m:t>
              </m:r>
            </m:sub>
            <m:sup/>
            <m:e>
              <m:sSub>
                <m:sSubPr>
                  <m:ctrlPr>
                    <w:rPr>
                      <w:rFonts w:ascii="Cambria Math" w:hAnsi="Cambria Math"/>
                      <w:i/>
                    </w:rPr>
                  </m:ctrlPr>
                </m:sSubPr>
                <m:e>
                  <m:r>
                    <w:rPr>
                      <w:rFonts w:ascii="Cambria Math" w:hAnsi="Cambria Math"/>
                    </w:rPr>
                    <m:t>q</m:t>
                  </m:r>
                </m:e>
                <m:sub>
                  <m:r>
                    <w:rPr>
                      <w:rFonts w:ascii="Cambria Math" w:hAnsi="Cambria Math"/>
                    </w:rPr>
                    <m:t>route,k</m:t>
                  </m:r>
                </m:sub>
              </m:sSub>
              <m:func>
                <m:funcPr>
                  <m:ctrlPr>
                    <w:rPr>
                      <w:rFonts w:ascii="Cambria Math" w:hAnsi="Cambria Math"/>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route,k</m:t>
                      </m:r>
                    </m:sub>
                  </m:sSub>
                </m:e>
              </m:func>
            </m:e>
          </m:nary>
          <m:r>
            <w:rPr>
              <w:rFonts w:ascii="Cambria Math" w:hAnsi="Cambria Math"/>
            </w:rPr>
            <m:t>,</m:t>
          </m:r>
        </m:oMath>
      </m:oMathPara>
    </w:p>
    <w:p w14:paraId="517075FE" w14:textId="77777777" w:rsidR="0096742E" w:rsidRDefault="009F6C37">
      <w:r>
        <w:rPr>
          <w:rFonts w:eastAsia="Times New Roman"/>
          <w:color w:val="232323"/>
        </w:rPr>
        <w:t>where K_L is the number of permitted categories. A high U signals that several exercises are similarly plausible; it is a condition for broader routing or multiple practice options, not an error to conceal.</w:t>
      </w:r>
    </w:p>
    <w:p w14:paraId="626B687D" w14:textId="77777777" w:rsidR="0096742E" w:rsidRDefault="009F6C37">
      <w:r>
        <w:rPr>
          <w:rFonts w:eastAsia="Times New Roman"/>
          <w:color w:val="232323"/>
        </w:rPr>
        <w:t>A separate data-support score may be defined as:</w:t>
      </w:r>
    </w:p>
    <w:p w14:paraId="4D946DBC" w14:textId="32DB50B0" w:rsidR="0096742E" w:rsidRDefault="009F6C37">
      <m:oMathPara>
        <m:oMath>
          <m:sSub>
            <m:sSubPr>
              <m:ctrlPr>
                <w:rPr>
                  <w:rFonts w:ascii="Cambria Math" w:hAnsi="Cambria Math"/>
                </w:rPr>
              </m:ctrlPr>
            </m:sSubPr>
            <m:e>
              <m:r>
                <w:rPr>
                  <w:rFonts w:ascii="Cambria Math" w:hAnsi="Cambria Math"/>
                </w:rPr>
                <m:t>C</m:t>
              </m:r>
            </m:e>
            <m:sub>
              <m:r>
                <m:rPr>
                  <m:nor/>
                </m:rPr>
                <m:t>data</m:t>
              </m:r>
            </m:sub>
          </m:sSub>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n</m:t>
                  </m:r>
                </m:e>
                <m:sub>
                  <m:r>
                    <m:rPr>
                      <m:nor/>
                    </m:rPr>
                    <m:t>eff</m:t>
                  </m:r>
                </m:sub>
              </m:sSub>
              <m:r>
                <w:rPr>
                  <w:rFonts w:ascii="Cambria Math" w:hAnsi="Cambria Math"/>
                </w:rPr>
                <m:t>/</m:t>
              </m:r>
              <m:r>
                <w:rPr>
                  <w:rFonts w:ascii="Cambria Math" w:hAnsi="Cambria Math"/>
                </w:rPr>
                <m:t>τ</m:t>
              </m:r>
            </m:e>
          </m:d>
          <m:r>
            <w:rPr>
              <w:rFonts w:ascii="Cambria Math" w:hAnsi="Cambria Math"/>
            </w:rPr>
            <m:t>,</m:t>
          </m:r>
          <m:r>
            <w:br/>
          </m:r>
        </m:oMath>
      </m:oMathPara>
    </w:p>
    <w:p w14:paraId="52429578" w14:textId="68A85FEC" w:rsidR="0096742E" w:rsidRDefault="00B315C2">
      <w:r>
        <w:rPr>
          <w:rFonts w:eastAsia="Times New Roman"/>
          <w:color w:val="232323"/>
        </w:rPr>
        <w:t>For an empirical deployment, tau must be selected on validation data. The controlled fixture uses tau = 8 and an illustrative data-support release threshold of 0.3; neither value is an empirically validated optimum, a calibration threshold, or a probability of correctness. C_data measures evidential support only.</w:t>
      </w:r>
    </w:p>
    <w:p w14:paraId="5F6D0411" w14:textId="77777777" w:rsidR="0096742E" w:rsidRDefault="009F6C37">
      <w:r>
        <w:rPr>
          <w:rFonts w:eastAsia="Times New Roman"/>
          <w:color w:val="232323"/>
        </w:rPr>
        <w:t>For held-out records n = 1, ..., N, with one-hot observed categories y_n and predicted vectors p_n, the multiclass Brier score is:</w:t>
      </w:r>
    </w:p>
    <w:p>
      <w:pPr/>
      <w:r>
        <w:t>The Brier score uses the sum over categories, without division by K. In the released-output evaluation below, p_n denotes the final routed vector; component scores are identified separately.</w:t>
      </w:r>
    </w:p>
    <w:p w14:paraId="7441FA75" w14:textId="5434D85C" w:rsidR="0096742E" w:rsidRDefault="009F6C37">
      <m:oMathPara>
        <m:oMath>
          <m:r>
            <m:rPr>
              <m:sty m:val="p"/>
            </m:rPr>
            <w:rPr>
              <w:rFonts w:ascii="Cambria Math" w:hAnsi="Cambria Math"/>
            </w:rPr>
            <m:t>BS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n</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r>
                    <w:rPr>
                      <w:rFonts w:ascii="Cambria Math" w:hAnsi="Cambria Math"/>
                    </w:rPr>
                    <m:t>(</m:t>
                  </m:r>
                </m:e>
              </m:nary>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r>
                    <w:rPr>
                      <w:rFonts w:ascii="Cambria Math" w:hAnsi="Cambria Math"/>
                    </w:rPr>
                    <m:t>,</m:t>
                  </m:r>
                  <m:r>
                    <w:rPr>
                      <w:rFonts w:ascii="Cambria Math" w:hAnsi="Cambria Math"/>
                    </w:rPr>
                    <m:t>k</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r>
                <w:rPr>
                  <w:rFonts w:ascii="Cambria Math" w:hAnsi="Cambria Math"/>
                </w:rPr>
                <m:t>.</m:t>
              </m:r>
            </m:e>
          </m:d>
          <m:r>
            <m:rPr>
              <m:sty m:val="p"/>
            </m:rPr>
            <w:br/>
          </m:r>
        </m:oMath>
      </m:oMathPara>
    </w:p>
    <w:p w14:paraId="22324521" w14:textId="77777777" w:rsidR="0096742E" w:rsidRDefault="009F6C37">
      <w:r>
        <w:t>For held-out records, let k̂ₙ = argmaxₖ pₙ,ₖ be the predicted top class, cₙ = maxₖ pₙ,ₖ its confidence, and aₙ = 1[k̂ₙ = yₙ] indicate whether the top label is correct. With confidence bins B</w:t>
      </w:r>
      <w:r>
        <w:t>ᵦ</w:t>
      </w:r>
      <w:r>
        <w:t>, the manuscript-facing expected calibration error is the top-label ECE:</w:t>
      </w:r>
    </w:p>
    <w:p w14:paraId="7D92C8BE" w14:textId="24EAB6AA" w:rsidR="0096742E" w:rsidRDefault="009F6C37">
      <w:pPr>
        <w:jc w:val="center"/>
      </w:pPr>
      <w:r>
        <w:rPr>
          <w:rFonts w:ascii="Cambria Math" w:hAnsi="Cambria Math"/>
        </w:rPr>
        <w:t>ECEₜₒₚ = ∑</w:t>
      </w:r>
      <w:r>
        <w:rPr>
          <w:rFonts w:ascii="Cambria Math" w:hAnsi="Cambria Math"/>
        </w:rPr>
        <w:t>ᵦ</w:t>
      </w:r>
      <w:r>
        <w:rPr>
          <w:rFonts w:ascii="Cambria Math" w:hAnsi="Cambria Math"/>
        </w:rPr>
        <w:t>₌₁</w:t>
      </w:r>
      <w:r>
        <w:rPr>
          <w:rFonts w:ascii="Cambria Math" w:hAnsi="Cambria Math"/>
        </w:rPr>
        <w:t>ᴮ</w:t>
      </w:r>
      <w:r>
        <w:rPr>
          <w:rFonts w:ascii="Cambria Math" w:hAnsi="Cambria Math"/>
        </w:rPr>
        <w:t xml:space="preserve"> (|B</w:t>
      </w:r>
      <w:r>
        <w:rPr>
          <w:rFonts w:ascii="Cambria Math" w:hAnsi="Cambria Math"/>
        </w:rPr>
        <w:t>ᵦ</w:t>
      </w:r>
      <w:r>
        <w:rPr>
          <w:rFonts w:ascii="Cambria Math" w:hAnsi="Cambria Math"/>
        </w:rPr>
        <w:t>| / N) · | acc(B</w:t>
      </w:r>
      <w:r>
        <w:rPr>
          <w:rFonts w:ascii="Cambria Math" w:hAnsi="Cambria Math"/>
        </w:rPr>
        <w:t>ᵦ</w:t>
      </w:r>
      <w:r>
        <w:rPr>
          <w:rFonts w:ascii="Cambria Math" w:hAnsi="Cambria Math"/>
        </w:rPr>
        <w:t>) − conf(B</w:t>
      </w:r>
      <w:r>
        <w:rPr>
          <w:rFonts w:ascii="Cambria Math" w:hAnsi="Cambria Math"/>
        </w:rPr>
        <w:t>ᵦ</w:t>
      </w:r>
      <w:r>
        <w:rPr>
          <w:rFonts w:ascii="Cambria Math" w:hAnsi="Cambria Math"/>
        </w:rPr>
        <w:t>) | .</w:t>
      </w:r>
    </w:p>
    <w:p w14:paraId="6B7E64D4" w14:textId="75E7A88B" w:rsidR="0096742E" w:rsidRDefault="00B315C2">
      <w:r>
        <w:t>Here acc(Bᵦ) is the empirical top-label accuracy in bin b and conf(Bᵦ) is the mean top-label confidence. Top-label ECE is a calibration diagnostic rather than a proper scoring rule; Brier score and log loss provide complementary proper scores. The earlier vector-bin diagnostic is retained only as a supplementary implementation utility because opposing class-vector errors can cancel within a bin; it is not Equation 13.</w:t>
      </w:r>
    </w:p>
    <w:p w14:paraId="032C255A" w14:textId="77777777" w:rsidR="0096742E" w:rsidRDefault="009F6C37">
      <w:r>
        <w:rPr>
          <w:rFonts w:eastAsia="Times New Roman"/>
          <w:color w:val="232323"/>
        </w:rPr>
        <w:t>Calibration is assessed on data not used to fit or tune the model. In Evaluation-Ready mode, the primary target is the final released distribution after compatibility masking and routing. Upstream model-internal and masked distributions may be scored diagnostically, but their calibration does not establish calibration of the released distribution. If an intervention such as isotonic regression is used, it is fitted on a validation partition and evaluated once on an independent test partition. No held-out external empirical calibration study is executed in version 1.5; Experiment 6 reports synthetic held-out diagnostics only.</w:t>
      </w:r>
    </w:p>
    <w:p w14:paraId="4FA198C7" w14:textId="77777777" w:rsidR="0096742E" w:rsidRDefault="009F6C37">
      <w:r>
        <w:rPr>
          <w:rFonts w:eastAsia="Times New Roman"/>
          <w:color w:val="232323"/>
        </w:rPr>
        <w:lastRenderedPageBreak/>
        <w:t>Online learning updates versioned sufficient statistics, not unreviewed raw user transcripts. Distributional drift can be monitored with a smoothed divergence between recent and reference predictive distributions:</w:t>
      </w:r>
    </w:p>
    <w:p w14:paraId="056EF526" w14:textId="6CE5D244" w:rsidR="0096742E" w:rsidRDefault="009F6C37">
      <m:oMathPara>
        <m:oMath>
          <m:sSub>
            <m:sSubPr>
              <m:ctrlPr>
                <w:rPr>
                  <w:rFonts w:ascii="Cambria Math" w:hAnsi="Cambria Math"/>
                </w:rPr>
              </m:ctrlPr>
            </m:sSubPr>
            <m:e>
              <m:r>
                <w:rPr>
                  <w:rFonts w:ascii="Cambria Math" w:hAnsi="Cambria Math"/>
                </w:rPr>
                <m:t>D</m:t>
              </m:r>
            </m:e>
            <m:sub>
              <m:r>
                <m:rPr>
                  <m:sty m:val="p"/>
                </m:rPr>
                <w:rPr>
                  <w:rFonts w:ascii="Cambria Math" w:hAnsi="Cambria Math"/>
                </w:rPr>
                <m:t>KL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ref</m:t>
                  </m:r>
                </m:sub>
              </m:sSub>
            </m:e>
          </m:d>
          <m:r>
            <w:rPr>
              <w:rFonts w:ascii="Cambria Math" w:hAnsi="Cambria Math"/>
            </w:rPr>
            <m:t>=</m:t>
          </m:r>
          <m:nary>
            <m:naryPr>
              <m:chr m:val="∑"/>
              <m:limLoc m:val="undOvr"/>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p</m:t>
                  </m:r>
                </m:e>
                <m:sub>
                  <m:r>
                    <m:rPr>
                      <m:sty m:val="p"/>
                    </m:rPr>
                    <w:rPr>
                      <w:rFonts w:ascii="Cambria Math" w:hAnsi="Cambria Math"/>
                    </w:rPr>
                    <m:t>new</m:t>
                  </m:r>
                  <m:r>
                    <w:rPr>
                      <w:rFonts w:ascii="Cambria Math" w:hAnsi="Cambria Math"/>
                    </w:rPr>
                    <m:t>,</m:t>
                  </m:r>
                  <m:r>
                    <w:rPr>
                      <w:rFonts w:ascii="Cambria Math" w:hAnsi="Cambria Math"/>
                    </w:rPr>
                    <m:t>k</m:t>
                  </m:r>
                </m:sub>
              </m:sSub>
            </m:e>
          </m:nary>
          <m:func>
            <m:funcPr>
              <m:ctrlPr>
                <w:rPr>
                  <w:rFonts w:ascii="Cambria Math" w:hAnsi="Cambria Math"/>
                </w:rPr>
              </m:ctrlPr>
            </m:funcPr>
            <m:fName>
              <m:r>
                <m:rPr>
                  <m:sty m:val="p"/>
                </m:rPr>
                <w:rPr>
                  <w:rFonts w:ascii="Cambria Math" w:hAnsi="Cambria Math"/>
                </w:rPr>
                <m:t>log</m:t>
              </m:r>
            </m:fName>
            <m:e>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new</m:t>
                      </m:r>
                      <m: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ref</m:t>
                      </m:r>
                      <m:r>
                        <w:rPr>
                          <w:rFonts w:ascii="Cambria Math" w:hAnsi="Cambria Math"/>
                        </w:rPr>
                        <m:t>,</m:t>
                      </m:r>
                      <m:r>
                        <w:rPr>
                          <w:rFonts w:ascii="Cambria Math" w:hAnsi="Cambria Math"/>
                        </w:rPr>
                        <m:t>k</m:t>
                      </m:r>
                    </m:sub>
                  </m:sSub>
                </m:den>
              </m:f>
            </m:e>
          </m:func>
          <m:r>
            <w:rPr>
              <w:rFonts w:ascii="Cambria Math" w:hAnsi="Cambria Math"/>
            </w:rPr>
            <m:t>.</m:t>
          </m:r>
          <m:r>
            <w:br/>
          </m:r>
        </m:oMath>
      </m:oMathPara>
    </w:p>
    <w:p w14:paraId="0CBF57AC" w14:textId="77777777" w:rsidR="0096742E" w:rsidRDefault="009F6C37">
      <w:r>
        <w:rPr>
          <w:rFonts w:eastAsia="Times New Roman"/>
          <w:color w:val="232323"/>
        </w:rPr>
        <w:t>The drift threshold, minimum effective batch mass, decay rate, and response policy are empirical hyperparameters. A trigger may freeze a Lens, require human review, update approved sufficient statistics, or initiate a rebuild.</w:t>
      </w:r>
    </w:p>
    <w:p w14:paraId="2393230C" w14:textId="77777777" w:rsidR="0096742E" w:rsidRDefault="009F6C37">
      <w:r>
        <w:t>When a research partner can choose which additional approved records to annotate, the selection rule can prioritize expected reduction in posterior parameter uncertainty:</w:t>
      </w:r>
    </w:p>
    <w:p w14:paraId="5EB45AB9" w14:textId="469C91D3" w:rsidR="0096742E" w:rsidRDefault="009F6C37">
      <m:oMathPara>
        <m:oMath>
          <m:r>
            <m:rPr>
              <m:sty m:val="p"/>
            </m:rPr>
            <w:rPr>
              <w:rFonts w:ascii="Cambria Math" w:hAnsi="Cambria Math"/>
            </w:rPr>
            <m:t>InfoGain</m:t>
          </m:r>
          <m:r>
            <w:rPr>
              <w:rFonts w:ascii="Cambria Math" w:hAnsi="Cambria Math"/>
            </w:rPr>
            <m:t>⁡</m:t>
          </m:r>
          <m:d>
            <m:dPr>
              <m:ctrlPr>
                <w:rPr>
                  <w:rFonts w:ascii="Cambria Math" w:hAnsi="Cambria Math"/>
                </w:rPr>
              </m:ctrlPr>
            </m:dPr>
            <m:e>
              <m:r>
                <w:rPr>
                  <w:rFonts w:ascii="Cambria Math" w:hAnsi="Cambria Math"/>
                </w:rPr>
                <m:t>r</m:t>
              </m:r>
            </m:e>
          </m:d>
          <m:r>
            <w:rPr>
              <w:rFonts w:ascii="Cambria Math" w:hAnsi="Cambria Math"/>
            </w:rPr>
            <m:t>=</m:t>
          </m:r>
          <m:r>
            <w:rPr>
              <w:rFonts w:ascii="Cambria Math" w:hAnsi="Cambria Math"/>
            </w:rPr>
            <m:t>H</m:t>
          </m:r>
          <m:r>
            <m:rPr>
              <m:nor/>
            </m:rPr>
            <w:rPr>
              <w:rFonts w:ascii="Arial" w:hAnsi="Arial" w:cs="Arial"/>
            </w:rPr>
            <m:t> </m:t>
          </m:r>
          <m:d>
            <m:dPr>
              <m:begChr m:val="["/>
              <m:endChr m:val="]"/>
              <m:ctrlPr>
                <w:rPr>
                  <w:rFonts w:ascii="Cambria Math" w:hAnsi="Cambria Math"/>
                </w:rPr>
              </m:ctrlPr>
            </m:dPr>
            <m:e>
              <m:r>
                <w:rPr>
                  <w:rFonts w:ascii="Cambria Math" w:hAnsi="Cambria Math"/>
                </w:rPr>
                <m:t>p</m:t>
              </m:r>
              <m:d>
                <m:dPr>
                  <m:ctrlPr>
                    <w:rPr>
                      <w:rFonts w:ascii="Cambria Math" w:hAnsi="Cambria Math"/>
                    </w:rPr>
                  </m:ctrlPr>
                </m:dPr>
                <m:e>
                  <m:r>
                    <m:rPr>
                      <m:sty m:val="p"/>
                    </m:rPr>
                    <w:rPr>
                      <w:rFonts w:ascii="Cambria Math" w:hAnsi="Cambria Math"/>
                    </w:rPr>
                    <m:t>Θ</m:t>
                  </m:r>
                  <m:r>
                    <w:rPr>
                      <w:rFonts w:ascii="Cambria Math" w:hAnsi="Cambria Math"/>
                    </w:rPr>
                    <m:t>∣</m:t>
                  </m:r>
                  <m:r>
                    <w:rPr>
                      <w:rFonts w:ascii="Cambria Math" w:hAnsi="Cambria Math"/>
                    </w:rPr>
                    <m:t>D</m:t>
                  </m:r>
                </m:e>
              </m:d>
            </m:e>
          </m:d>
          <m:r>
            <w:rPr>
              <w:rFonts w:ascii="Cambria Math" w:hAnsi="Cambria Math"/>
            </w:rPr>
            <m:t>-</m:t>
          </m:r>
          <m:sSub>
            <m:sSubPr>
              <m:ctrlPr>
                <w:rPr>
                  <w:rFonts w:ascii="Cambria Math" w:hAnsi="Cambria Math"/>
                </w:rPr>
              </m:ctrlPr>
            </m:sSubPr>
            <m:e>
              <m:r>
                <m:rPr>
                  <m:scr m:val="double-struck"/>
                </m:rPr>
                <w:rPr>
                  <w:rFonts w:ascii="Cambria Math" w:hAnsi="Cambria Math"/>
                </w:rPr>
                <m:t>E</m:t>
              </m:r>
            </m:e>
            <m:sub>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m:t>
              </m:r>
              <m:r>
                <w:rPr>
                  <w:rFonts w:ascii="Cambria Math" w:hAnsi="Cambria Math"/>
                </w:rPr>
                <m:t>D</m:t>
              </m:r>
            </m:sub>
          </m:sSub>
          <m:d>
            <m:dPr>
              <m:begChr m:val="["/>
              <m:endChr m:val="]"/>
              <m:ctrlPr>
                <w:rPr>
                  <w:rFonts w:ascii="Cambria Math" w:hAnsi="Cambria Math"/>
                </w:rPr>
              </m:ctrlPr>
            </m:dPr>
            <m:e>
              <m:r>
                <w:rPr>
                  <w:rFonts w:ascii="Cambria Math" w:hAnsi="Cambria Math"/>
                </w:rPr>
                <m:t>H</m:t>
              </m:r>
              <m:r>
                <m:rPr>
                  <m:nor/>
                </m:rPr>
                <w:rPr>
                  <w:rFonts w:ascii="Arial" w:hAnsi="Arial" w:cs="Arial"/>
                </w:rPr>
                <m:t> </m:t>
              </m:r>
              <m:d>
                <m:dPr>
                  <m:begChr m:val="["/>
                  <m:endChr m:val="]"/>
                  <m:ctrlPr>
                    <w:rPr>
                      <w:rFonts w:ascii="Cambria Math" w:hAnsi="Cambria Math"/>
                    </w:rPr>
                  </m:ctrlPr>
                </m:dPr>
                <m:e>
                  <m:r>
                    <w:rPr>
                      <w:rFonts w:ascii="Cambria Math" w:hAnsi="Cambria Math"/>
                    </w:rPr>
                    <m:t>p</m:t>
                  </m:r>
                  <m:d>
                    <m:dPr>
                      <m:sepChr m:val=","/>
                      <m:ctrlPr>
                        <w:rPr>
                          <w:rFonts w:ascii="Cambria Math" w:hAnsi="Cambria Math"/>
                        </w:rPr>
                      </m:ctrlPr>
                    </m:dPr>
                    <m:e>
                      <m:r>
                        <m:rPr>
                          <m:sty m:val="p"/>
                        </m:rPr>
                        <w:rPr>
                          <w:rFonts w:ascii="Cambria Math" w:hAnsi="Cambria Math"/>
                        </w:rPr>
                        <m:t>Θ</m:t>
                      </m:r>
                    </m:e>
                    <m:e>
                      <m:r>
                        <w:rPr>
                          <w:rFonts w:ascii="Cambria Math" w:hAnsi="Cambria Math"/>
                        </w:rPr>
                        <m:t>∣</m:t>
                      </m:r>
                    </m:e>
                    <m:e>
                      <m:r>
                        <w:rPr>
                          <w:rFonts w:ascii="Cambria Math" w:hAnsi="Cambria Math"/>
                        </w:rPr>
                        <m:t>Dr</m:t>
                      </m:r>
                      <m:sSub>
                        <m:sSubPr>
                          <m:ctrlPr>
                            <w:rPr>
                              <w:rFonts w:ascii="Cambria Math" w:hAnsi="Cambria Math"/>
                            </w:rPr>
                          </m:ctrlPr>
                        </m:sSubPr>
                        <m:e>
                          <m:r>
                            <w:rPr>
                              <w:rFonts w:ascii="Cambria Math" w:hAnsi="Cambria Math"/>
                            </w:rPr>
                            <m:t>F</m:t>
                          </m:r>
                        </m:e>
                        <m:sub>
                          <m:r>
                            <w:rPr>
                              <w:rFonts w:ascii="Cambria Math" w:hAnsi="Cambria Math"/>
                            </w:rPr>
                            <m:t>r</m:t>
                          </m:r>
                        </m:sub>
                      </m:sSub>
                    </m:e>
                  </m:d>
                </m:e>
              </m:d>
            </m:e>
          </m:d>
          <m:r>
            <w:rPr>
              <w:rFonts w:ascii="Cambria Math" w:hAnsi="Cambria Math"/>
            </w:rPr>
            <m:t>,</m:t>
          </m:r>
          <m:r>
            <w:br/>
          </m:r>
        </m:oMath>
      </m:oMathPara>
    </w:p>
    <w:p w14:paraId="48096377" w14:textId="77777777" w:rsidR="0096742E" w:rsidRDefault="009F6C37">
      <w:r>
        <w:t>where H is posterior entropy. For the Dirichlet–categorical case used by the public reference, expected_information_gain() evaluates the one-record parameter-posterior information gain I(Θ;Y). The former one-step posterior-predictive category-entropy reduction is retained under the distinct name predictive_entropy_reduction() and is not Equation 15. This scoring rule does not authorize collection of more personal data by itself; it only ranks records whose use has already been approved.</w:t>
      </w:r>
    </w:p>
    <w:p w14:paraId="2B39BA87" w14:textId="77777777" w:rsidR="0096742E" w:rsidRDefault="009F6C37">
      <w:r>
        <w:rPr>
          <w:rFonts w:eastAsia="Times New Roman"/>
          <w:color w:val="232323"/>
        </w:rPr>
        <w:pict w14:anchorId="5A6AADF6">
          <v:rect id="_x0000_i1030" style="width:0;height:.75pt" o:hralign="center" o:hrstd="t" o:hr="t" fillcolor="#a0a0a0" stroked="f"/>
        </w:pict>
      </w:r>
    </w:p>
    <w:p w14:paraId="574863CD" w14:textId="77777777" w:rsidR="0096742E" w:rsidRDefault="009F6C37">
      <w:pPr>
        <w:pStyle w:val="Heading1"/>
      </w:pPr>
      <w:r>
        <w:t>6 Governance-by-Design and Normative Commitments</w:t>
      </w:r>
    </w:p>
    <w:p w14:paraId="0F299EAB" w14:textId="77777777" w:rsidR="0096742E" w:rsidRDefault="009F6C37">
      <w:pPr>
        <w:pStyle w:val="Heading2"/>
      </w:pPr>
      <w:r>
        <w:t>6.1 Epistemic Restraint: Specificity Must Be Earned</w:t>
      </w:r>
    </w:p>
    <w:p w14:paraId="4AB8CEE0" w14:textId="77777777" w:rsidR="0096742E" w:rsidRDefault="009F6C37">
      <w:r>
        <w:t>The framework's central ethical claim is that an AI practice system should not present contextual specificity that its evidence cannot justify. A fluent follow-up can be useful as generic rehearsal, but it becomes ethically problematic when wording or interface cues encourage a candidate to infer hidden knowledge about a named employer. AIMS operationalizes epistemic restraint through evidence maturity, authorization checks, explicit backoff, provenance decomposition, and abstention. A company-specific Lens</w:t>
      </w:r>
      <w:r>
        <w:t xml:space="preserve"> is therefore a versioned, contestable hypothesis under defined evidence, not a declaration of organizational truth.</w:t>
      </w:r>
    </w:p>
    <w:p w14:paraId="2EE54F87" w14:textId="77777777" w:rsidR="0096742E" w:rsidRDefault="009F6C37">
      <w:pPr>
        <w:pStyle w:val="Heading2"/>
      </w:pPr>
      <w:r>
        <w:t>6.2 Authenticity-Preserving Candidate Assistance</w:t>
      </w:r>
    </w:p>
    <w:p w14:paraId="2E28B3F4" w14:textId="77777777" w:rsidR="0096742E" w:rsidRDefault="009F6C37">
      <w:r>
        <w:t xml:space="preserve">Candidate-side generative AI can change interview performance and may threaten assessment validity when it supplies answers that candidates present as their own [6]. AIMS therefore draws a normative boundary between coaching and fabrication. The system may help a candidate identify missing evidence, organize a genuine example, clarify personal ownership, or explain how an outcome was measured. It should not invent experience, metrics, stakeholders, decisions, or consequences. Practice success is not framed </w:t>
      </w:r>
      <w:r>
        <w:t>as a promise of hiring success, and the engine is not designed to reverse-engineer confidential employer scoring rules.</w:t>
      </w:r>
    </w:p>
    <w:p w14:paraId="6A8C5D2C" w14:textId="77777777" w:rsidR="0096742E" w:rsidRDefault="009F6C37">
      <w:pPr>
        <w:pStyle w:val="Heading2"/>
      </w:pPr>
      <w:r>
        <w:t>6.3 Data Separation, Consent, and Purpose Limitation</w:t>
      </w:r>
    </w:p>
    <w:p w14:paraId="25DF5068" w14:textId="77777777" w:rsidR="0096742E" w:rsidRDefault="009F6C37">
      <w:r>
        <w:t>Candidate-state features and organization-level Lens evidence serve different purposes and should not be silently merged. Practice records may adapt an individual user's next exercise when consent and retention rules permit, but they do not become standing evidence about an employer. Conversely, organization-level evidence should not require the Lens Core to retain candidate identity or raw transcripts. This separation implements purpose limitation and reduces the risk that a commercial practice loop manufa</w:t>
      </w:r>
      <w:r>
        <w:t>ctures the evidence used to justify its own claims.</w:t>
      </w:r>
    </w:p>
    <w:p w14:paraId="031C5D15" w14:textId="77777777" w:rsidR="0096742E" w:rsidRDefault="009F6C37">
      <w:pPr>
        <w:pStyle w:val="Heading2"/>
      </w:pPr>
      <w:r>
        <w:t>6.4 Fairness, Contestability, and Organizational Stereotyping</w:t>
      </w:r>
    </w:p>
    <w:p w14:paraId="722BA40D" w14:textId="77777777" w:rsidR="0096742E" w:rsidRDefault="009F6C37">
      <w:r>
        <w:t>A Lens can itself become a source of stereotyping if a limited collection of public reports is treated as a stable description of an organization, team, or culture. AIMS therefore treats every Lens as scoped, versioned, expiring, and reviewable. Fairness evaluation must examine not only whether recommendations differ across participant groups, but also whether compatibility rules, taxonomies, source coverage, and fallback behavior systematically disadvantage particular communication styles or backgrounds. W</w:t>
      </w:r>
      <w:r>
        <w:t>here a user or reviewer cannot reproduce why a specific Lens was used, the release claim should be narrowed or the Lens suspended.</w:t>
      </w:r>
    </w:p>
    <w:p w14:paraId="0F417420" w14:textId="77777777" w:rsidR="0096742E" w:rsidRDefault="009F6C37">
      <w:pPr>
        <w:pStyle w:val="Heading2"/>
      </w:pPr>
      <w:r>
        <w:t>6.5 Human Oversight and Fail-Closed Governance</w:t>
      </w:r>
    </w:p>
    <w:p w14:paraId="5D109B4F" w14:textId="77777777" w:rsidR="0096742E" w:rsidRDefault="009F6C37">
      <w:r>
        <w:t>Human review is required for evidence maturity transitions, exception rules, and the release of company-specific Lenses. Governance is fail-closed in the sense that expired, unauthorized, incompatible, or insufficiently mature evidence cannot be rescued by language-model fluency. The desired system property is not maximum contextualization; it is the most specific recommendation that remains evidentially and ethically supportable. This converts abstract principles such as transparency, accountability, priva</w:t>
      </w:r>
      <w:r>
        <w:t>cy, and fairness into enforceable decision-path constraints [10-12].</w:t>
      </w:r>
    </w:p>
    <w:p w14:paraId="60B58EE7" w14:textId="77777777" w:rsidR="0096742E" w:rsidRDefault="009F6C37">
      <w:pPr>
        <w:pStyle w:val="Heading1"/>
        <w:rPr>
          <w:bCs/>
        </w:rPr>
      </w:pPr>
      <w:r>
        <w:t>7 Evaluation Protocol, Controlled Verification, and Corrective Verification</w:t>
      </w:r>
    </w:p>
    <w:p w14:paraId="30382729" w14:textId="77777777" w:rsidR="0096742E" w:rsidRDefault="009F6C37">
      <w:r>
        <w:t>This section has two layers. Sections 7.1-7.6 define the external empirical program required to test relevance, calibration, candidate benefit, and governance claims on appropriately governed data. Those outcome studies should be preregistered before evaluation and reviewed by the relevant research, privacy, and institutional bodies. Sections 7.7-7.13 report a narrower controlled and corrective verification bundle executed on synthetic or public-safe fixtures. Primary external claims remain baseline-relativ</w:t>
      </w:r>
      <w:r>
        <w:t>e and require uncertainty intervals, effect sizes, and independent evidence; the controlled results below verify mechanism behavior, mathematical–implementation alignment, approximation behavior, and reproducibility rather than ecological or employment-outcome validity.</w:t>
      </w:r>
    </w:p>
    <w:p w14:paraId="7543114E" w14:textId="77777777" w:rsidR="0096742E" w:rsidRDefault="009F6C37">
      <w:pPr>
        <w:pStyle w:val="Heading2"/>
        <w:rPr>
          <w:bCs/>
        </w:rPr>
      </w:pPr>
      <w:r>
        <w:t>7.1 Research Questions</w:t>
      </w:r>
    </w:p>
    <w:p w14:paraId="28FBCD21" w14:textId="77777777" w:rsidR="0096742E" w:rsidRDefault="009F6C37">
      <w:pPr>
        <w:pStyle w:val="RQBlock"/>
        <w:pBdr>
          <w:left w:val="single" w:sz="14" w:space="3" w:color="5D7891"/>
        </w:pBdr>
        <w:shd w:val="clear" w:color="auto" w:fill="F5F7F9"/>
      </w:pPr>
      <w:r>
        <w:rPr>
          <w:rFonts w:eastAsia="Times New Roman"/>
          <w:b/>
          <w:bCs/>
        </w:rPr>
        <w:t>RQ1 (Relevance):</w:t>
      </w:r>
      <w:r>
        <w:rPr>
          <w:rFonts w:eastAsia="Times New Roman"/>
        </w:rPr>
        <w:t> Compared with an unconditioned or broadly conditioned baseline, do AIMS-selected follow-up categories better match independently annotated interview context?</w:t>
      </w:r>
    </w:p>
    <w:p w14:paraId="5EF94520" w14:textId="77777777" w:rsidR="0096742E" w:rsidRDefault="009F6C37">
      <w:pPr>
        <w:pStyle w:val="RQBlock"/>
        <w:pBdr>
          <w:left w:val="single" w:sz="14" w:space="3" w:color="5D7891"/>
        </w:pBdr>
        <w:shd w:val="clear" w:color="auto" w:fill="F5F7F9"/>
      </w:pPr>
      <w:r>
        <w:rPr>
          <w:rFonts w:eastAsia="Times New Roman"/>
          <w:b/>
          <w:bCs/>
        </w:rPr>
        <w:t>RQ2 (Calibration):</w:t>
      </w:r>
      <w:r>
        <w:rPr>
          <w:rFonts w:eastAsia="Times New Roman"/>
        </w:rPr>
        <w:t> When the model emits probabilities for a defined prediction target using qualified labeled data, are those estimates calibrated and properly scored on held-out records?</w:t>
      </w:r>
    </w:p>
    <w:p w14:paraId="1BDDCA2C" w14:textId="77777777" w:rsidR="0096742E" w:rsidRDefault="009F6C37">
      <w:pPr>
        <w:pStyle w:val="RQBlock"/>
        <w:pBdr>
          <w:left w:val="single" w:sz="14" w:space="3" w:color="5D7891"/>
        </w:pBdr>
        <w:shd w:val="clear" w:color="auto" w:fill="F5F7F9"/>
      </w:pPr>
      <w:r>
        <w:rPr>
          <w:rFonts w:eastAsia="Times New Roman"/>
          <w:b/>
          <w:bCs/>
        </w:rPr>
        <w:t>RQ3 (Candidate Benefit):</w:t>
      </w:r>
      <w:r>
        <w:rPr>
          <w:rFonts w:eastAsia="Times New Roman"/>
        </w:rPr>
        <w:t> Does evidence-conditioned practice improve defined preparation outcomes, such as answer completeness or structured reasoning, compared with a control practice experience?</w:t>
      </w:r>
    </w:p>
    <w:p w14:paraId="26A1C2E4" w14:textId="77777777" w:rsidR="0096742E" w:rsidRDefault="009F6C37">
      <w:pPr>
        <w:pStyle w:val="RQBlock"/>
        <w:pBdr>
          <w:left w:val="single" w:sz="14" w:space="3" w:color="5D7891"/>
        </w:pBdr>
        <w:shd w:val="clear" w:color="auto" w:fill="F5F7F9"/>
      </w:pPr>
      <w:r>
        <w:rPr>
          <w:rFonts w:eastAsia="Times New Roman"/>
          <w:b/>
          <w:bCs/>
        </w:rPr>
        <w:t>RQ4 (Governance):</w:t>
      </w:r>
      <w:r>
        <w:rPr>
          <w:rFonts w:eastAsia="Times New Roman"/>
        </w:rPr>
        <w:t> Can reviewers reproduce a routing decision and identify the evidence and constraints that produced it?</w:t>
      </w:r>
    </w:p>
    <w:p w14:paraId="26BE748E" w14:textId="77777777" w:rsidR="0096742E" w:rsidRDefault="009F6C37">
      <w:pPr>
        <w:pStyle w:val="Heading2"/>
        <w:rPr>
          <w:bCs/>
        </w:rPr>
      </w:pPr>
      <w:r>
        <w:t>7.2 Data and Rights Requirements</w:t>
      </w:r>
    </w:p>
    <w:p w14:paraId="738A2940" w14:textId="77777777" w:rsidR="0096742E" w:rsidRDefault="009F6C37">
      <w:r>
        <w:rPr>
          <w:rFonts w:eastAsia="Times New Roman"/>
          <w:color w:val="232323"/>
        </w:rPr>
        <w:t>The study must use records with a documented lawful and ethical basis for research. Potential sources include:</w:t>
      </w:r>
    </w:p>
    <w:p w14:paraId="6122FB91" w14:textId="77777777" w:rsidR="0096742E" w:rsidRDefault="009F6C37">
      <w:pPr>
        <w:pStyle w:val="TableCaption"/>
      </w:pPr>
      <w:r>
        <w:t>Table 4. Data sources, permitted use, and retention requirements.</w:t>
      </w:r>
    </w:p>
    <w:tbl>
      <w:tblPr>
        <w:tblW w:w="0" w:type="auto"/>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3204"/>
        <w:gridCol w:w="2146"/>
        <w:gridCol w:w="2172"/>
        <w:gridCol w:w="1239"/>
      </w:tblGrid>
      <w:tr w:rsidR="0096742E" w14:paraId="6CD6A27F"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165D68E6" w14:textId="77777777" w:rsidR="0096742E" w:rsidRDefault="009F6C37">
            <w:pPr>
              <w:keepNext/>
              <w:spacing w:after="30" w:line="240" w:lineRule="auto"/>
              <w:ind w:firstLine="0"/>
              <w:jc w:val="left"/>
            </w:pPr>
            <w:r>
              <w:rPr>
                <w:rFonts w:ascii="Arial" w:eastAsia="Arial" w:hAnsi="Arial"/>
                <w:b/>
                <w:color w:val="232D37"/>
                <w:sz w:val="16"/>
              </w:rPr>
              <w:t>Source</w:t>
            </w:r>
          </w:p>
        </w:tc>
        <w:tc>
          <w:tcPr>
            <w:tcW w:w="0" w:type="auto"/>
            <w:tcBorders>
              <w:top w:val="nil"/>
            </w:tcBorders>
            <w:shd w:val="clear" w:color="auto" w:fill="DDE7F0"/>
            <w:tcMar>
              <w:top w:w="70" w:type="dxa"/>
              <w:left w:w="90" w:type="dxa"/>
              <w:bottom w:w="70" w:type="dxa"/>
              <w:right w:w="90" w:type="dxa"/>
            </w:tcMar>
            <w:vAlign w:val="center"/>
            <w:hideMark/>
          </w:tcPr>
          <w:p w14:paraId="188E01B8" w14:textId="77777777" w:rsidR="0096742E" w:rsidRDefault="009F6C37">
            <w:pPr>
              <w:spacing w:after="30" w:line="240" w:lineRule="auto"/>
              <w:ind w:firstLine="0"/>
              <w:jc w:val="left"/>
            </w:pPr>
            <w:r>
              <w:rPr>
                <w:rFonts w:ascii="Arial" w:eastAsia="Arial" w:hAnsi="Arial"/>
                <w:b/>
                <w:color w:val="232D37"/>
                <w:sz w:val="16"/>
              </w:rPr>
              <w:t>Permitted Use</w:t>
            </w:r>
          </w:p>
        </w:tc>
        <w:tc>
          <w:tcPr>
            <w:tcW w:w="0" w:type="auto"/>
            <w:tcBorders>
              <w:top w:val="nil"/>
            </w:tcBorders>
            <w:shd w:val="clear" w:color="auto" w:fill="DDE7F0"/>
            <w:tcMar>
              <w:top w:w="70" w:type="dxa"/>
              <w:left w:w="90" w:type="dxa"/>
              <w:bottom w:w="70" w:type="dxa"/>
              <w:right w:w="90" w:type="dxa"/>
            </w:tcMar>
            <w:vAlign w:val="center"/>
            <w:hideMark/>
          </w:tcPr>
          <w:p w14:paraId="1AE4B23C" w14:textId="77777777" w:rsidR="0096742E" w:rsidRDefault="009F6C37">
            <w:pPr>
              <w:spacing w:after="30" w:line="240" w:lineRule="auto"/>
              <w:ind w:firstLine="0"/>
              <w:jc w:val="left"/>
            </w:pPr>
            <w:r>
              <w:rPr>
                <w:rFonts w:ascii="Arial" w:eastAsia="Arial" w:hAnsi="Arial"/>
                <w:b/>
                <w:color w:val="232D37"/>
                <w:sz w:val="16"/>
              </w:rPr>
              <w:t>De-identification Required</w:t>
            </w:r>
          </w:p>
        </w:tc>
        <w:tc>
          <w:tcPr>
            <w:tcW w:w="0" w:type="auto"/>
            <w:tcBorders>
              <w:top w:val="nil"/>
            </w:tcBorders>
            <w:shd w:val="clear" w:color="auto" w:fill="DDE7F0"/>
            <w:tcMar>
              <w:top w:w="70" w:type="dxa"/>
              <w:left w:w="90" w:type="dxa"/>
              <w:bottom w:w="70" w:type="dxa"/>
              <w:right w:w="90" w:type="dxa"/>
            </w:tcMar>
            <w:vAlign w:val="center"/>
            <w:hideMark/>
          </w:tcPr>
          <w:p w14:paraId="529658B9" w14:textId="77777777" w:rsidR="0096742E" w:rsidRDefault="009F6C37">
            <w:pPr>
              <w:spacing w:after="30" w:line="240" w:lineRule="auto"/>
              <w:ind w:firstLine="0"/>
              <w:jc w:val="left"/>
            </w:pPr>
            <w:r>
              <w:rPr>
                <w:rFonts w:ascii="Arial" w:eastAsia="Arial" w:hAnsi="Arial"/>
                <w:b/>
                <w:color w:val="232D37"/>
                <w:sz w:val="16"/>
              </w:rPr>
              <w:t>Retention</w:t>
            </w:r>
          </w:p>
        </w:tc>
      </w:tr>
      <w:tr w:rsidR="0096742E" w14:paraId="464E491E" w14:textId="77777777">
        <w:trPr>
          <w:cantSplit/>
          <w:jc w:val="center"/>
        </w:trPr>
        <w:tc>
          <w:tcPr>
            <w:tcW w:w="0" w:type="auto"/>
            <w:tcMar>
              <w:top w:w="70" w:type="dxa"/>
              <w:left w:w="90" w:type="dxa"/>
              <w:bottom w:w="70" w:type="dxa"/>
              <w:right w:w="90" w:type="dxa"/>
            </w:tcMar>
            <w:vAlign w:val="center"/>
            <w:hideMark/>
          </w:tcPr>
          <w:p w14:paraId="0124D48E" w14:textId="77777777" w:rsidR="0096742E" w:rsidRDefault="009F6C37">
            <w:pPr>
              <w:spacing w:after="30" w:line="240" w:lineRule="auto"/>
              <w:ind w:firstLine="0"/>
              <w:jc w:val="left"/>
            </w:pPr>
            <w:r>
              <w:rPr>
                <w:rFonts w:ascii="Arial" w:eastAsia="Arial" w:hAnsi="Arial"/>
                <w:color w:val="232D37"/>
                <w:sz w:val="16"/>
              </w:rPr>
              <w:t>Partner-contributed mock interviews</w:t>
            </w:r>
          </w:p>
        </w:tc>
        <w:tc>
          <w:tcPr>
            <w:tcW w:w="0" w:type="auto"/>
            <w:tcMar>
              <w:top w:w="70" w:type="dxa"/>
              <w:left w:w="90" w:type="dxa"/>
              <w:bottom w:w="70" w:type="dxa"/>
              <w:right w:w="90" w:type="dxa"/>
            </w:tcMar>
            <w:vAlign w:val="center"/>
            <w:hideMark/>
          </w:tcPr>
          <w:p w14:paraId="7CFB0D25" w14:textId="77777777" w:rsidR="0096742E" w:rsidRDefault="009F6C37">
            <w:pPr>
              <w:spacing w:after="30" w:line="240" w:lineRule="auto"/>
              <w:ind w:firstLine="0"/>
              <w:jc w:val="left"/>
            </w:pPr>
            <w:r>
              <w:rPr>
                <w:rFonts w:ascii="Arial" w:eastAsia="Arial" w:hAnsi="Arial"/>
                <w:color w:val="232D37"/>
                <w:sz w:val="16"/>
              </w:rPr>
              <w:t>Research + practice</w:t>
            </w:r>
          </w:p>
        </w:tc>
        <w:tc>
          <w:tcPr>
            <w:tcW w:w="0" w:type="auto"/>
            <w:tcMar>
              <w:top w:w="70" w:type="dxa"/>
              <w:left w:w="90" w:type="dxa"/>
              <w:bottom w:w="70" w:type="dxa"/>
              <w:right w:w="90" w:type="dxa"/>
            </w:tcMar>
            <w:vAlign w:val="center"/>
            <w:hideMark/>
          </w:tcPr>
          <w:p w14:paraId="4634422C" w14:textId="77777777" w:rsidR="0096742E" w:rsidRDefault="009F6C37">
            <w:pPr>
              <w:spacing w:after="30" w:line="240" w:lineRule="auto"/>
              <w:ind w:firstLine="0"/>
              <w:jc w:val="left"/>
            </w:pPr>
            <w:r>
              <w:rPr>
                <w:rFonts w:ascii="Arial" w:eastAsia="Arial" w:hAnsi="Arial"/>
                <w:color w:val="232D37"/>
                <w:sz w:val="16"/>
              </w:rPr>
              <w:t>Yes</w:t>
            </w:r>
          </w:p>
        </w:tc>
        <w:tc>
          <w:tcPr>
            <w:tcW w:w="0" w:type="auto"/>
            <w:tcMar>
              <w:top w:w="70" w:type="dxa"/>
              <w:left w:w="90" w:type="dxa"/>
              <w:bottom w:w="70" w:type="dxa"/>
              <w:right w:w="90" w:type="dxa"/>
            </w:tcMar>
            <w:vAlign w:val="center"/>
            <w:hideMark/>
          </w:tcPr>
          <w:p w14:paraId="5DDB6F6B" w14:textId="77777777" w:rsidR="0096742E" w:rsidRDefault="009F6C37">
            <w:pPr>
              <w:spacing w:after="30" w:line="240" w:lineRule="auto"/>
              <w:ind w:firstLine="0"/>
              <w:jc w:val="left"/>
            </w:pPr>
            <w:r>
              <w:rPr>
                <w:rFonts w:ascii="Arial" w:eastAsia="Arial" w:hAnsi="Arial"/>
                <w:color w:val="232D37"/>
                <w:sz w:val="16"/>
              </w:rPr>
              <w:t>3 years</w:t>
            </w:r>
          </w:p>
        </w:tc>
      </w:tr>
      <w:tr w:rsidR="0096742E" w14:paraId="5A61E736" w14:textId="77777777">
        <w:trPr>
          <w:cantSplit/>
          <w:jc w:val="center"/>
        </w:trPr>
        <w:tc>
          <w:tcPr>
            <w:tcW w:w="0" w:type="auto"/>
            <w:shd w:val="clear" w:color="auto" w:fill="F7F9FB"/>
            <w:tcMar>
              <w:top w:w="70" w:type="dxa"/>
              <w:left w:w="90" w:type="dxa"/>
              <w:bottom w:w="70" w:type="dxa"/>
              <w:right w:w="90" w:type="dxa"/>
            </w:tcMar>
            <w:vAlign w:val="center"/>
            <w:hideMark/>
          </w:tcPr>
          <w:p w14:paraId="4457D74B" w14:textId="77777777" w:rsidR="0096742E" w:rsidRDefault="009F6C37">
            <w:pPr>
              <w:spacing w:after="30" w:line="240" w:lineRule="auto"/>
              <w:ind w:firstLine="0"/>
              <w:jc w:val="left"/>
            </w:pPr>
            <w:r>
              <w:rPr>
                <w:rFonts w:ascii="Arial" w:eastAsia="Arial" w:hAnsi="Arial"/>
                <w:color w:val="232D37"/>
                <w:sz w:val="16"/>
              </w:rPr>
              <w:t>Consented simulated sessions</w:t>
            </w:r>
          </w:p>
        </w:tc>
        <w:tc>
          <w:tcPr>
            <w:tcW w:w="0" w:type="auto"/>
            <w:shd w:val="clear" w:color="auto" w:fill="F7F9FB"/>
            <w:tcMar>
              <w:top w:w="70" w:type="dxa"/>
              <w:left w:w="90" w:type="dxa"/>
              <w:bottom w:w="70" w:type="dxa"/>
              <w:right w:w="90" w:type="dxa"/>
            </w:tcMar>
            <w:vAlign w:val="center"/>
            <w:hideMark/>
          </w:tcPr>
          <w:p w14:paraId="78EB3873" w14:textId="77777777" w:rsidR="0096742E" w:rsidRDefault="009F6C37">
            <w:pPr>
              <w:spacing w:after="30" w:line="240" w:lineRule="auto"/>
              <w:ind w:firstLine="0"/>
              <w:jc w:val="left"/>
            </w:pPr>
            <w:r>
              <w:rPr>
                <w:rFonts w:ascii="Arial" w:eastAsia="Arial" w:hAnsi="Arial"/>
                <w:color w:val="232D37"/>
                <w:sz w:val="16"/>
              </w:rPr>
              <w:t>Research + product</w:t>
            </w:r>
          </w:p>
        </w:tc>
        <w:tc>
          <w:tcPr>
            <w:tcW w:w="0" w:type="auto"/>
            <w:shd w:val="clear" w:color="auto" w:fill="F7F9FB"/>
            <w:tcMar>
              <w:top w:w="70" w:type="dxa"/>
              <w:left w:w="90" w:type="dxa"/>
              <w:bottom w:w="70" w:type="dxa"/>
              <w:right w:w="90" w:type="dxa"/>
            </w:tcMar>
            <w:vAlign w:val="center"/>
            <w:hideMark/>
          </w:tcPr>
          <w:p w14:paraId="72E19CAB" w14:textId="77777777" w:rsidR="0096742E" w:rsidRDefault="009F6C37">
            <w:pPr>
              <w:spacing w:after="30" w:line="240" w:lineRule="auto"/>
              <w:ind w:firstLine="0"/>
              <w:jc w:val="left"/>
            </w:pPr>
            <w:r>
              <w:rPr>
                <w:rFonts w:ascii="Arial" w:eastAsia="Arial" w:hAnsi="Arial"/>
                <w:color w:val="232D37"/>
                <w:sz w:val="16"/>
              </w:rPr>
              <w:t>Yes</w:t>
            </w:r>
          </w:p>
        </w:tc>
        <w:tc>
          <w:tcPr>
            <w:tcW w:w="0" w:type="auto"/>
            <w:shd w:val="clear" w:color="auto" w:fill="F7F9FB"/>
            <w:tcMar>
              <w:top w:w="70" w:type="dxa"/>
              <w:left w:w="90" w:type="dxa"/>
              <w:bottom w:w="70" w:type="dxa"/>
              <w:right w:w="90" w:type="dxa"/>
            </w:tcMar>
            <w:vAlign w:val="center"/>
            <w:hideMark/>
          </w:tcPr>
          <w:p w14:paraId="544446ED" w14:textId="77777777" w:rsidR="0096742E" w:rsidRDefault="009F6C37">
            <w:pPr>
              <w:spacing w:after="30" w:line="240" w:lineRule="auto"/>
              <w:ind w:firstLine="0"/>
              <w:jc w:val="left"/>
            </w:pPr>
            <w:r>
              <w:rPr>
                <w:rFonts w:ascii="Arial" w:eastAsia="Arial" w:hAnsi="Arial"/>
                <w:color w:val="232D37"/>
                <w:sz w:val="16"/>
              </w:rPr>
              <w:t>3 years</w:t>
            </w:r>
          </w:p>
        </w:tc>
      </w:tr>
      <w:tr w:rsidR="0096742E" w14:paraId="48778E07" w14:textId="77777777">
        <w:trPr>
          <w:cantSplit/>
          <w:jc w:val="center"/>
        </w:trPr>
        <w:tc>
          <w:tcPr>
            <w:tcW w:w="0" w:type="auto"/>
            <w:tcMar>
              <w:top w:w="70" w:type="dxa"/>
              <w:left w:w="90" w:type="dxa"/>
              <w:bottom w:w="70" w:type="dxa"/>
              <w:right w:w="90" w:type="dxa"/>
            </w:tcMar>
            <w:vAlign w:val="center"/>
            <w:hideMark/>
          </w:tcPr>
          <w:p w14:paraId="78EFD8C8" w14:textId="77777777" w:rsidR="0096742E" w:rsidRDefault="009F6C37">
            <w:pPr>
              <w:spacing w:after="30" w:line="240" w:lineRule="auto"/>
              <w:ind w:firstLine="0"/>
              <w:jc w:val="left"/>
            </w:pPr>
            <w:r>
              <w:rPr>
                <w:rFonts w:ascii="Arial" w:eastAsia="Arial" w:hAnsi="Arial"/>
                <w:color w:val="232D37"/>
                <w:sz w:val="16"/>
              </w:rPr>
              <w:t>De-identified records (explicitly authorized)</w:t>
            </w:r>
          </w:p>
        </w:tc>
        <w:tc>
          <w:tcPr>
            <w:tcW w:w="0" w:type="auto"/>
            <w:tcMar>
              <w:top w:w="70" w:type="dxa"/>
              <w:left w:w="90" w:type="dxa"/>
              <w:bottom w:w="70" w:type="dxa"/>
              <w:right w:w="90" w:type="dxa"/>
            </w:tcMar>
            <w:vAlign w:val="center"/>
            <w:hideMark/>
          </w:tcPr>
          <w:p w14:paraId="245C6C84" w14:textId="77777777" w:rsidR="0096742E" w:rsidRDefault="009F6C37">
            <w:pPr>
              <w:spacing w:after="30" w:line="240" w:lineRule="auto"/>
              <w:ind w:firstLine="0"/>
              <w:jc w:val="left"/>
            </w:pPr>
            <w:r>
              <w:rPr>
                <w:rFonts w:ascii="Arial" w:eastAsia="Arial" w:hAnsi="Arial"/>
                <w:color w:val="232D37"/>
                <w:sz w:val="16"/>
              </w:rPr>
              <w:t>Research only</w:t>
            </w:r>
          </w:p>
        </w:tc>
        <w:tc>
          <w:tcPr>
            <w:tcW w:w="0" w:type="auto"/>
            <w:tcMar>
              <w:top w:w="70" w:type="dxa"/>
              <w:left w:w="90" w:type="dxa"/>
              <w:bottom w:w="70" w:type="dxa"/>
              <w:right w:w="90" w:type="dxa"/>
            </w:tcMar>
            <w:vAlign w:val="center"/>
            <w:hideMark/>
          </w:tcPr>
          <w:p w14:paraId="08BBC12C" w14:textId="77777777" w:rsidR="0096742E" w:rsidRDefault="009F6C37">
            <w:pPr>
              <w:spacing w:after="30" w:line="240" w:lineRule="auto"/>
              <w:ind w:firstLine="0"/>
              <w:jc w:val="left"/>
            </w:pPr>
            <w:r>
              <w:rPr>
                <w:rFonts w:ascii="Arial" w:eastAsia="Arial" w:hAnsi="Arial"/>
                <w:color w:val="232D37"/>
                <w:sz w:val="16"/>
              </w:rPr>
              <w:t>Already de-identified</w:t>
            </w:r>
          </w:p>
        </w:tc>
        <w:tc>
          <w:tcPr>
            <w:tcW w:w="0" w:type="auto"/>
            <w:tcMar>
              <w:top w:w="70" w:type="dxa"/>
              <w:left w:w="90" w:type="dxa"/>
              <w:bottom w:w="70" w:type="dxa"/>
              <w:right w:w="90" w:type="dxa"/>
            </w:tcMar>
            <w:vAlign w:val="center"/>
            <w:hideMark/>
          </w:tcPr>
          <w:p w14:paraId="25EE77D3" w14:textId="77777777" w:rsidR="0096742E" w:rsidRDefault="009F6C37">
            <w:pPr>
              <w:spacing w:after="30" w:line="240" w:lineRule="auto"/>
              <w:ind w:firstLine="0"/>
              <w:jc w:val="left"/>
            </w:pPr>
            <w:r>
              <w:rPr>
                <w:rFonts w:ascii="Arial" w:eastAsia="Arial" w:hAnsi="Arial"/>
                <w:color w:val="232D37"/>
                <w:sz w:val="16"/>
              </w:rPr>
              <w:t>Per agreement</w:t>
            </w:r>
          </w:p>
        </w:tc>
      </w:tr>
      <w:tr w:rsidR="0096742E" w14:paraId="71E6FB6E" w14:textId="77777777">
        <w:trPr>
          <w:cantSplit/>
          <w:jc w:val="center"/>
        </w:trPr>
        <w:tc>
          <w:tcPr>
            <w:tcW w:w="0" w:type="auto"/>
            <w:shd w:val="clear" w:color="auto" w:fill="F7F9FB"/>
            <w:tcMar>
              <w:top w:w="70" w:type="dxa"/>
              <w:left w:w="90" w:type="dxa"/>
              <w:bottom w:w="70" w:type="dxa"/>
              <w:right w:w="90" w:type="dxa"/>
            </w:tcMar>
            <w:vAlign w:val="center"/>
            <w:hideMark/>
          </w:tcPr>
          <w:p w14:paraId="2D907B1C" w14:textId="77777777" w:rsidR="0096742E" w:rsidRDefault="009F6C37">
            <w:pPr>
              <w:spacing w:after="30" w:line="240" w:lineRule="auto"/>
              <w:ind w:firstLine="0"/>
              <w:jc w:val="left"/>
            </w:pPr>
            <w:r>
              <w:rPr>
                <w:rFonts w:ascii="Arial" w:eastAsia="Arial" w:hAnsi="Arial"/>
                <w:color w:val="232D37"/>
                <w:sz w:val="16"/>
              </w:rPr>
              <w:t>Publicly accessible content</w:t>
            </w:r>
          </w:p>
        </w:tc>
        <w:tc>
          <w:tcPr>
            <w:tcW w:w="0" w:type="auto"/>
            <w:shd w:val="clear" w:color="auto" w:fill="F7F9FB"/>
            <w:tcMar>
              <w:top w:w="70" w:type="dxa"/>
              <w:left w:w="90" w:type="dxa"/>
              <w:bottom w:w="70" w:type="dxa"/>
              <w:right w:w="90" w:type="dxa"/>
            </w:tcMar>
            <w:vAlign w:val="center"/>
            <w:hideMark/>
          </w:tcPr>
          <w:p w14:paraId="1ACFAF79" w14:textId="77777777" w:rsidR="0096742E" w:rsidRDefault="009F6C37">
            <w:pPr>
              <w:spacing w:after="30" w:line="240" w:lineRule="auto"/>
              <w:ind w:firstLine="0"/>
              <w:jc w:val="left"/>
            </w:pPr>
            <w:r>
              <w:rPr>
                <w:rFonts w:ascii="Arial" w:eastAsia="Arial" w:hAnsi="Arial"/>
                <w:color w:val="232D37"/>
                <w:sz w:val="16"/>
              </w:rPr>
              <w:t>Research only (if permitted)</w:t>
            </w:r>
          </w:p>
        </w:tc>
        <w:tc>
          <w:tcPr>
            <w:tcW w:w="0" w:type="auto"/>
            <w:shd w:val="clear" w:color="auto" w:fill="F7F9FB"/>
            <w:tcMar>
              <w:top w:w="70" w:type="dxa"/>
              <w:left w:w="90" w:type="dxa"/>
              <w:bottom w:w="70" w:type="dxa"/>
              <w:right w:w="90" w:type="dxa"/>
            </w:tcMar>
            <w:vAlign w:val="center"/>
            <w:hideMark/>
          </w:tcPr>
          <w:p w14:paraId="2C8B87AE" w14:textId="77777777" w:rsidR="0096742E" w:rsidRDefault="009F6C37">
            <w:pPr>
              <w:spacing w:after="30" w:line="240" w:lineRule="auto"/>
              <w:ind w:firstLine="0"/>
              <w:jc w:val="left"/>
            </w:pPr>
            <w:r>
              <w:rPr>
                <w:rFonts w:ascii="Arial" w:eastAsia="Arial" w:hAnsi="Arial"/>
                <w:color w:val="232D37"/>
                <w:sz w:val="16"/>
              </w:rPr>
              <w:t>N/A</w:t>
            </w:r>
          </w:p>
        </w:tc>
        <w:tc>
          <w:tcPr>
            <w:tcW w:w="0" w:type="auto"/>
            <w:shd w:val="clear" w:color="auto" w:fill="F7F9FB"/>
            <w:tcMar>
              <w:top w:w="70" w:type="dxa"/>
              <w:left w:w="90" w:type="dxa"/>
              <w:bottom w:w="70" w:type="dxa"/>
              <w:right w:w="90" w:type="dxa"/>
            </w:tcMar>
            <w:vAlign w:val="center"/>
            <w:hideMark/>
          </w:tcPr>
          <w:p w14:paraId="7FE0E610" w14:textId="77777777" w:rsidR="0096742E" w:rsidRDefault="009F6C37">
            <w:pPr>
              <w:spacing w:after="30" w:line="240" w:lineRule="auto"/>
              <w:ind w:firstLine="0"/>
              <w:jc w:val="left"/>
            </w:pPr>
            <w:r>
              <w:rPr>
                <w:rFonts w:ascii="Arial" w:eastAsia="Arial" w:hAnsi="Arial"/>
                <w:color w:val="232D37"/>
                <w:sz w:val="16"/>
              </w:rPr>
              <w:t>Per terms</w:t>
            </w:r>
          </w:p>
        </w:tc>
      </w:tr>
      <w:tr w:rsidR="0096742E" w14:paraId="5A30AB76" w14:textId="77777777">
        <w:trPr>
          <w:cantSplit/>
          <w:jc w:val="center"/>
        </w:trPr>
        <w:tc>
          <w:tcPr>
            <w:tcW w:w="0" w:type="auto"/>
            <w:tcMar>
              <w:top w:w="70" w:type="dxa"/>
              <w:left w:w="90" w:type="dxa"/>
              <w:bottom w:w="70" w:type="dxa"/>
              <w:right w:w="90" w:type="dxa"/>
            </w:tcMar>
            <w:vAlign w:val="center"/>
            <w:hideMark/>
          </w:tcPr>
          <w:p w14:paraId="4548A279" w14:textId="77777777" w:rsidR="0096742E" w:rsidRDefault="009F6C37">
            <w:pPr>
              <w:spacing w:after="30" w:line="240" w:lineRule="auto"/>
              <w:ind w:firstLine="0"/>
              <w:jc w:val="left"/>
            </w:pPr>
            <w:r>
              <w:rPr>
                <w:rFonts w:ascii="Arial" w:eastAsia="Arial" w:hAnsi="Arial"/>
                <w:color w:val="232D37"/>
                <w:sz w:val="16"/>
              </w:rPr>
              <w:t>Confidential employer content</w:t>
            </w:r>
          </w:p>
        </w:tc>
        <w:tc>
          <w:tcPr>
            <w:tcW w:w="0" w:type="auto"/>
            <w:tcMar>
              <w:top w:w="70" w:type="dxa"/>
              <w:left w:w="90" w:type="dxa"/>
              <w:bottom w:w="70" w:type="dxa"/>
              <w:right w:w="90" w:type="dxa"/>
            </w:tcMar>
            <w:vAlign w:val="center"/>
            <w:hideMark/>
          </w:tcPr>
          <w:p w14:paraId="0E8DCB02" w14:textId="77777777" w:rsidR="0096742E" w:rsidRDefault="009F6C37">
            <w:pPr>
              <w:spacing w:after="30" w:line="240" w:lineRule="auto"/>
              <w:ind w:firstLine="0"/>
              <w:jc w:val="left"/>
            </w:pPr>
            <w:r>
              <w:rPr>
                <w:rFonts w:ascii="Arial" w:eastAsia="Arial" w:hAnsi="Arial"/>
                <w:color w:val="232D37"/>
                <w:sz w:val="16"/>
              </w:rPr>
              <w:t>Per written agreement</w:t>
            </w:r>
          </w:p>
        </w:tc>
        <w:tc>
          <w:tcPr>
            <w:tcW w:w="0" w:type="auto"/>
            <w:tcMar>
              <w:top w:w="70" w:type="dxa"/>
              <w:left w:w="90" w:type="dxa"/>
              <w:bottom w:w="70" w:type="dxa"/>
              <w:right w:w="90" w:type="dxa"/>
            </w:tcMar>
            <w:vAlign w:val="center"/>
            <w:hideMark/>
          </w:tcPr>
          <w:p w14:paraId="70B1D767" w14:textId="77777777" w:rsidR="0096742E" w:rsidRDefault="009F6C37">
            <w:pPr>
              <w:spacing w:after="30" w:line="240" w:lineRule="auto"/>
              <w:ind w:firstLine="0"/>
              <w:jc w:val="left"/>
            </w:pPr>
            <w:r>
              <w:rPr>
                <w:rFonts w:ascii="Arial" w:eastAsia="Arial" w:hAnsi="Arial"/>
                <w:color w:val="232D37"/>
                <w:sz w:val="16"/>
              </w:rPr>
              <w:t>Per agreement</w:t>
            </w:r>
          </w:p>
        </w:tc>
        <w:tc>
          <w:tcPr>
            <w:tcW w:w="0" w:type="auto"/>
            <w:tcMar>
              <w:top w:w="70" w:type="dxa"/>
              <w:left w:w="90" w:type="dxa"/>
              <w:bottom w:w="70" w:type="dxa"/>
              <w:right w:w="90" w:type="dxa"/>
            </w:tcMar>
            <w:vAlign w:val="center"/>
            <w:hideMark/>
          </w:tcPr>
          <w:p w14:paraId="71A175CA" w14:textId="77777777" w:rsidR="0096742E" w:rsidRDefault="009F6C37">
            <w:pPr>
              <w:spacing w:after="30" w:line="240" w:lineRule="auto"/>
              <w:ind w:firstLine="0"/>
              <w:jc w:val="left"/>
            </w:pPr>
            <w:r>
              <w:rPr>
                <w:rFonts w:ascii="Arial" w:eastAsia="Arial" w:hAnsi="Arial"/>
                <w:color w:val="232D37"/>
                <w:sz w:val="16"/>
              </w:rPr>
              <w:t>Per agreement</w:t>
            </w:r>
          </w:p>
        </w:tc>
      </w:tr>
    </w:tbl>
    <w:p w14:paraId="182EA90F" w14:textId="77777777" w:rsidR="0096742E" w:rsidRDefault="009F6C37">
      <w:r>
        <w:rPr>
          <w:rFonts w:eastAsia="Times New Roman"/>
          <w:color w:val="232323"/>
        </w:rPr>
        <w:t>Each dataset requires a </w:t>
      </w:r>
      <w:r>
        <w:rPr>
          <w:rFonts w:eastAsia="Times New Roman"/>
          <w:b/>
          <w:bCs/>
          <w:color w:val="232323"/>
        </w:rPr>
        <w:t>dataset card</w:t>
      </w:r>
      <w:r>
        <w:rPr>
          <w:rFonts w:eastAsia="Times New Roman"/>
          <w:color w:val="232323"/>
        </w:rPr>
        <w:t> containing collection purpose, population, time period, consent or contractual basis, representation limits, annotation process, known biases, retention period, and prohibited uses. Raw recordings and transcripts should be avoided unless necessary. Where feasible, store de-identified, purpose-limited annotations rather than identifiable source material.</w:t>
      </w:r>
    </w:p>
    <w:p w14:paraId="51185A19" w14:textId="77777777" w:rsidR="0096742E" w:rsidRDefault="009F6C37">
      <w:r>
        <w:t>A reference de-identification interface is provided in Supplementary Listing S6.</w:t>
      </w:r>
    </w:p>
    <w:p w14:paraId="1619C9A9" w14:textId="77777777" w:rsidR="0096742E" w:rsidRDefault="009F6C37">
      <w:r>
        <w:t>Supplementary Listing S6 is a reference procedure and interface boundary, not empirical evidence that personally identifiable information has been removed with a validated error rate. The public implementation handles common contact and date patterns locally; names, organizations, and locations require a reviewed environment-specific entity-detection/replacement component, and production use requires validation and human review appropriate to the data domain.</w:t>
      </w:r>
    </w:p>
    <w:p w14:paraId="597F8B5A" w14:textId="77777777" w:rsidR="0096742E" w:rsidRDefault="009F6C37">
      <w:pPr>
        <w:pStyle w:val="Heading2"/>
        <w:rPr>
          <w:bCs/>
        </w:rPr>
      </w:pPr>
      <w:r>
        <w:t>7.3 Labels, Splits, and Baselines</w:t>
      </w:r>
    </w:p>
    <w:p w14:paraId="0D11D324" w14:textId="77777777" w:rsidR="0096742E" w:rsidRDefault="009F6C37">
      <w:r>
        <w:rPr>
          <w:rFonts w:eastAsia="Times New Roman"/>
          <w:color w:val="232323"/>
        </w:rPr>
        <w:t>At least two trained annotators should assign follow-up categories using a written codebook. Inter-rater agreement, disagreement resolution, and category prevalence must be reported. The codebook must distinguish a follow-up category from surface wording.</w:t>
      </w:r>
    </w:p>
    <w:p w14:paraId="7FDDBE94" w14:textId="77777777" w:rsidR="0096742E" w:rsidRDefault="009F6C37">
      <w:r>
        <w:t>Data partition strategy and declared baselines are specified in Supplementary Tables S2-S3.</w:t>
      </w:r>
    </w:p>
    <w:p w14:paraId="7DCE0FB5" w14:textId="77777777" w:rsidR="0096742E" w:rsidRDefault="009F6C37">
      <w:pPr>
        <w:pStyle w:val="Heading2"/>
        <w:rPr>
          <w:bCs/>
        </w:rPr>
      </w:pPr>
      <w:r>
        <w:t>7.4 Measures</w:t>
      </w:r>
    </w:p>
    <w:p w14:paraId="653D9726" w14:textId="77777777" w:rsidR="0096742E" w:rsidRDefault="009F6C37">
      <w:r>
        <w:t>Category-selection, probability-calibration, and candidate-benefit measures are specified in Supplementary Tables S4-S6.</w:t>
      </w:r>
    </w:p>
    <w:p w14:paraId="3A008422" w14:textId="77777777" w:rsidR="0096742E" w:rsidRDefault="009F6C37">
      <w:pPr>
        <w:pStyle w:val="Heading2"/>
        <w:rPr>
          <w:bCs/>
        </w:rPr>
      </w:pPr>
      <w:r>
        <w:t>7.5 Claims Gates and Stopping Rules</w:t>
      </w:r>
    </w:p>
    <w:p w14:paraId="40D9D329" w14:textId="77777777" w:rsidR="0096742E" w:rsidRDefault="009F6C37">
      <w:r>
        <w:rPr>
          <w:rFonts w:eastAsia="Times New Roman"/>
          <w:color w:val="232323"/>
        </w:rPr>
        <w:t>The study should establish </w:t>
      </w:r>
      <w:r>
        <w:rPr>
          <w:rFonts w:eastAsia="Times New Roman"/>
          <w:b/>
          <w:bCs/>
          <w:color w:val="232323"/>
        </w:rPr>
        <w:t>claims gates</w:t>
      </w:r>
      <w:r>
        <w:rPr>
          <w:rFonts w:eastAsia="Times New Roman"/>
          <w:color w:val="232323"/>
        </w:rPr>
        <w:t> in advance:</w:t>
      </w:r>
    </w:p>
    <w:p w14:paraId="765A2604" w14:textId="77777777" w:rsidR="0096742E" w:rsidRDefault="009F6C37">
      <w:pPr>
        <w:pStyle w:val="TableCaption"/>
      </w:pPr>
      <w:r>
        <w:t>Table 5. Claims gates for release of empirical assertions. Gates are comparative and evidence-dependent rather than universal constants.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1532"/>
        <w:gridCol w:w="9749"/>
      </w:tblGrid>
      <w:tr w:rsidR="0096742E" w14:paraId="16F06F22"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7F869851" w14:textId="77777777" w:rsidR="0096742E" w:rsidRDefault="009F6C37">
            <w:pPr>
              <w:keepNext/>
              <w:spacing w:after="30" w:line="240" w:lineRule="auto"/>
              <w:ind w:firstLine="0"/>
              <w:jc w:val="left"/>
            </w:pPr>
            <w:r>
              <w:rPr>
                <w:rFonts w:ascii="Arial" w:eastAsia="Arial" w:hAnsi="Arial"/>
                <w:b/>
                <w:color w:val="232D37"/>
                <w:sz w:val="16"/>
              </w:rPr>
              <w:t>Claim</w:t>
            </w:r>
          </w:p>
        </w:tc>
        <w:tc>
          <w:tcPr>
            <w:tcW w:w="0" w:type="auto"/>
            <w:tcBorders>
              <w:top w:val="nil"/>
            </w:tcBorders>
            <w:shd w:val="clear" w:color="auto" w:fill="DDE7F0"/>
            <w:tcMar>
              <w:top w:w="70" w:type="dxa"/>
              <w:left w:w="90" w:type="dxa"/>
              <w:bottom w:w="70" w:type="dxa"/>
              <w:right w:w="90" w:type="dxa"/>
            </w:tcMar>
            <w:vAlign w:val="center"/>
            <w:hideMark/>
          </w:tcPr>
          <w:p w14:paraId="698E661E" w14:textId="77777777" w:rsidR="0096742E" w:rsidRDefault="009F6C37">
            <w:pPr>
              <w:spacing w:after="30" w:line="240" w:lineRule="auto"/>
              <w:ind w:firstLine="0"/>
              <w:jc w:val="left"/>
            </w:pPr>
            <w:r>
              <w:rPr>
                <w:rFonts w:ascii="Arial" w:eastAsia="Arial" w:hAnsi="Arial"/>
                <w:b/>
                <w:color w:val="232D37"/>
                <w:sz w:val="16"/>
              </w:rPr>
              <w:t>Gate</w:t>
            </w:r>
          </w:p>
        </w:tc>
      </w:tr>
      <w:tr w:rsidR="0096742E" w14:paraId="144CFC01" w14:textId="77777777">
        <w:trPr>
          <w:cantSplit/>
          <w:jc w:val="center"/>
        </w:trPr>
        <w:tc>
          <w:tcPr>
            <w:tcW w:w="0" w:type="auto"/>
            <w:tcMar>
              <w:top w:w="70" w:type="dxa"/>
              <w:left w:w="90" w:type="dxa"/>
              <w:bottom w:w="70" w:type="dxa"/>
              <w:right w:w="90" w:type="dxa"/>
            </w:tcMar>
            <w:vAlign w:val="center"/>
            <w:hideMark/>
          </w:tcPr>
          <w:p w14:paraId="20E423DA" w14:textId="77777777" w:rsidR="0096742E" w:rsidRDefault="009F6C37">
            <w:pPr>
              <w:spacing w:after="30" w:line="240" w:lineRule="auto"/>
              <w:ind w:firstLine="0"/>
              <w:jc w:val="left"/>
            </w:pPr>
            <w:r>
              <w:rPr>
                <w:rFonts w:ascii="Arial" w:eastAsia="Arial" w:hAnsi="Arial"/>
                <w:color w:val="232D37"/>
                <w:sz w:val="16"/>
              </w:rPr>
              <w:t>Improved practice relevance</w:t>
            </w:r>
          </w:p>
        </w:tc>
        <w:tc>
          <w:tcPr>
            <w:tcW w:w="0" w:type="auto"/>
            <w:tcMar>
              <w:top w:w="70" w:type="dxa"/>
              <w:left w:w="90" w:type="dxa"/>
              <w:bottom w:w="70" w:type="dxa"/>
              <w:right w:w="90" w:type="dxa"/>
            </w:tcMar>
            <w:vAlign w:val="center"/>
            <w:hideMark/>
          </w:tcPr>
          <w:p w14:paraId="7B716E8C" w14:textId="77777777" w:rsidR="0096742E" w:rsidRDefault="009F6C37">
            <w:r>
              <w:t>AIMS outperforms strongest declared baseline with uncertainty reported; blinded expert usefulness is higher; no material subgroup degradation</w:t>
            </w:r>
          </w:p>
        </w:tc>
      </w:tr>
      <w:tr w:rsidR="0096742E" w14:paraId="120BB201" w14:textId="77777777">
        <w:trPr>
          <w:cantSplit/>
          <w:jc w:val="center"/>
        </w:trPr>
        <w:tc>
          <w:tcPr>
            <w:tcW w:w="0" w:type="auto"/>
            <w:shd w:val="clear" w:color="auto" w:fill="F7F9FB"/>
            <w:tcMar>
              <w:top w:w="70" w:type="dxa"/>
              <w:left w:w="90" w:type="dxa"/>
              <w:bottom w:w="70" w:type="dxa"/>
              <w:right w:w="90" w:type="dxa"/>
            </w:tcMar>
            <w:vAlign w:val="center"/>
            <w:hideMark/>
          </w:tcPr>
          <w:p w14:paraId="686C7353" w14:textId="77777777" w:rsidR="0096742E" w:rsidRDefault="009F6C37">
            <w:pPr>
              <w:spacing w:after="30" w:line="240" w:lineRule="auto"/>
              <w:ind w:firstLine="0"/>
              <w:jc w:val="left"/>
            </w:pPr>
            <w:r>
              <w:rPr>
                <w:rFonts w:ascii="Arial" w:eastAsia="Arial" w:hAnsi="Arial"/>
                <w:color w:val="232D37"/>
                <w:sz w:val="16"/>
              </w:rPr>
              <w:t>Calibrated probability</w:t>
            </w:r>
          </w:p>
        </w:tc>
        <w:tc>
          <w:tcPr>
            <w:tcW w:w="0" w:type="auto"/>
            <w:shd w:val="clear" w:color="auto" w:fill="F7F9FB"/>
            <w:tcMar>
              <w:top w:w="70" w:type="dxa"/>
              <w:left w:w="90" w:type="dxa"/>
              <w:bottom w:w="70" w:type="dxa"/>
              <w:right w:w="90" w:type="dxa"/>
            </w:tcMar>
            <w:vAlign w:val="center"/>
            <w:hideMark/>
          </w:tcPr>
          <w:p w14:paraId="49AADDE1" w14:textId="6AD52104" w:rsidR="0096742E" w:rsidRDefault="00B315C2">
            <w:r>
              <w:t>Held-out probabilistic scores and calibration for the final released distribution after compatibility masking and routing improve on the declared baseline; subgroup calibration is examined; independent test partition only.</w:t>
            </w:r>
          </w:p>
        </w:tc>
      </w:tr>
      <w:tr w:rsidR="0096742E" w14:paraId="5B892C35" w14:textId="77777777">
        <w:trPr>
          <w:cantSplit/>
          <w:jc w:val="center"/>
        </w:trPr>
        <w:tc>
          <w:tcPr>
            <w:tcW w:w="0" w:type="auto"/>
            <w:tcMar>
              <w:top w:w="70" w:type="dxa"/>
              <w:left w:w="90" w:type="dxa"/>
              <w:bottom w:w="70" w:type="dxa"/>
              <w:right w:w="90" w:type="dxa"/>
            </w:tcMar>
            <w:vAlign w:val="center"/>
            <w:hideMark/>
          </w:tcPr>
          <w:p w14:paraId="65B8954C" w14:textId="77777777" w:rsidR="0096742E" w:rsidRDefault="009F6C37">
            <w:pPr>
              <w:spacing w:after="30" w:line="240" w:lineRule="auto"/>
              <w:ind w:firstLine="0"/>
              <w:jc w:val="left"/>
            </w:pPr>
            <w:r>
              <w:rPr>
                <w:rFonts w:ascii="Arial" w:eastAsia="Arial" w:hAnsi="Arial"/>
                <w:color w:val="232D37"/>
                <w:sz w:val="16"/>
              </w:rPr>
              <w:t>Company-specific pattern</w:t>
            </w:r>
          </w:p>
        </w:tc>
        <w:tc>
          <w:tcPr>
            <w:tcW w:w="0" w:type="auto"/>
            <w:tcMar>
              <w:top w:w="70" w:type="dxa"/>
              <w:left w:w="90" w:type="dxa"/>
              <w:bottom w:w="70" w:type="dxa"/>
              <w:right w:w="90" w:type="dxa"/>
            </w:tcMar>
            <w:vAlign w:val="center"/>
            <w:hideMark/>
          </w:tcPr>
          <w:p w14:paraId="3B0EE5AB" w14:textId="77777777" w:rsidR="0096742E" w:rsidRDefault="009F6C37">
            <w:r>
              <w:t>Adequate company-specific evidence, temporal validation, and demonstrated departure from broader prior without loss of calibration</w:t>
            </w:r>
          </w:p>
        </w:tc>
      </w:tr>
    </w:tbl>
    <w:p w14:paraId="3871C632" w14:textId="7A2A9260" w:rsidR="0096742E" w:rsidRDefault="00B315C2">
      <w:r>
        <w:rPr>
          <w:rFonts w:eastAsia="Times New Roman"/>
          <w:color w:val="232323"/>
        </w:rPr>
        <w:t>Two mechanisms must be distinguished. Runtime abstention is executable fail-closed behavior for no eligible route, no supported routing mass, all categories masked, or insufficient permitted data support. Empirical claim gating governs what may be asserted: absent or failed calibration, unavailable subgroup validation, stale external evidence, or unmet Evaluation-Ready requirements withhold or downgrade probabilistic claims. Calibration failure does not automatically trigger runtime abstention. Rights withdrawal and loss of eligible evidence also require the relevant runtime authorization and support gates to be re-evaluated. An empirical claim must be withheld or narrowed when:</w:t>
      </w:r>
    </w:p>
    <w:p w14:paraId="7FCD36F0" w14:textId="77777777" w:rsidR="0096742E" w:rsidRDefault="009F6C37">
      <w:pPr>
        <w:numPr>
          <w:ilvl w:val="0"/>
          <w:numId w:val="2"/>
        </w:numPr>
      </w:pPr>
      <w:r>
        <w:rPr>
          <w:rFonts w:eastAsia="Times New Roman"/>
          <w:color w:val="232323"/>
        </w:rPr>
        <w:t>A Lens becomes stale</w:t>
      </w:r>
    </w:p>
    <w:p w14:paraId="7EC1A007" w14:textId="77777777" w:rsidR="0096742E" w:rsidRDefault="009F6C37">
      <w:pPr>
        <w:numPr>
          <w:ilvl w:val="0"/>
          <w:numId w:val="2"/>
        </w:numPr>
      </w:pPr>
      <w:r>
        <w:rPr>
          <w:rFonts w:eastAsia="Times New Roman"/>
          <w:color w:val="232323"/>
        </w:rPr>
        <w:t>Data rights are withdrawn</w:t>
      </w:r>
    </w:p>
    <w:p w14:paraId="65251CB5" w14:textId="77777777" w:rsidR="0096742E" w:rsidRDefault="009F6C37">
      <w:pPr>
        <w:numPr>
          <w:ilvl w:val="0"/>
          <w:numId w:val="2"/>
        </w:numPr>
      </w:pPr>
      <w:r>
        <w:rPr>
          <w:rFonts w:eastAsia="Times New Roman"/>
          <w:color w:val="232323"/>
        </w:rPr>
        <w:t>A subgroup disparity reaches a pre-defined review threshold</w:t>
      </w:r>
    </w:p>
    <w:p w14:paraId="5BCB48CF" w14:textId="77777777" w:rsidR="0096742E" w:rsidRDefault="009F6C37">
      <w:pPr>
        <w:numPr>
          <w:ilvl w:val="0"/>
          <w:numId w:val="2"/>
        </w:numPr>
      </w:pPr>
      <w:r>
        <w:rPr>
          <w:rFonts w:eastAsia="Times New Roman"/>
          <w:color w:val="232323"/>
        </w:rPr>
        <w:t>A calibration check fails</w:t>
      </w:r>
    </w:p>
    <w:p w14:paraId="20B50D1C" w14:textId="77777777" w:rsidR="0096742E" w:rsidRDefault="009F6C37">
      <w:pPr>
        <w:numPr>
          <w:ilvl w:val="0"/>
          <w:numId w:val="2"/>
        </w:numPr>
      </w:pPr>
      <w:r>
        <w:rPr>
          <w:rFonts w:eastAsia="Times New Roman"/>
          <w:color w:val="232323"/>
        </w:rPr>
        <w:t>An audit cannot reproduce a released output</w:t>
      </w:r>
    </w:p>
    <w:p w14:paraId="5CC4B1D4" w14:textId="77777777" w:rsidR="0096742E" w:rsidRDefault="009F6C37">
      <w:r>
        <w:rPr>
          <w:rFonts w:eastAsia="Times New Roman"/>
          <w:color w:val="232323"/>
        </w:rPr>
        <w:t>Negative findings are useful outcomes: they indicate that routing should remain broad, that a category taxonomy needs revision, or that the current evidence cannot support a company-specific model.</w:t>
      </w:r>
    </w:p>
    <w:p w14:paraId="00E6F6E0" w14:textId="77777777" w:rsidR="0096742E" w:rsidRDefault="009F6C37">
      <w:pPr>
        <w:pStyle w:val="Heading2"/>
        <w:rPr>
          <w:bCs/>
        </w:rPr>
      </w:pPr>
      <w:r>
        <w:t>7.6 Ablation Experiments</w:t>
      </w:r>
    </w:p>
    <w:p w14:paraId="37998F38" w14:textId="77777777" w:rsidR="0096742E" w:rsidRDefault="009F6C37">
      <w:r>
        <w:rPr>
          <w:rFonts w:eastAsia="Times New Roman"/>
          <w:color w:val="232323"/>
        </w:rPr>
        <w:t>To demonstrate the value of each component, we propose the following ablation experiments:</w:t>
      </w:r>
    </w:p>
    <w:p w14:paraId="0E83836E" w14:textId="77777777" w:rsidR="0096742E" w:rsidRDefault="009F6C37">
      <w:r>
        <w:rPr>
          <w:rFonts w:eastAsia="Times New Roman"/>
          <w:color w:val="232323"/>
        </w:rPr>
        <w:t>Each ablation should be evaluated on the same held-out test set, with the same metrics, and reported with confidence intervals.</w:t>
      </w:r>
    </w:p>
    <w:p w14:paraId="458D9E4C" w14:textId="77777777" w:rsidR="0096742E" w:rsidRDefault="009F6C37">
      <w:pPr>
        <w:pStyle w:val="Heading2"/>
      </w:pPr>
      <w:r>
        <w:t>7.7 Controlled Synthetic Verification</w:t>
      </w:r>
    </w:p>
    <w:p w14:paraId="64FEA6E5" w14:textId="64B135EF" w:rsidR="0096742E" w:rsidRDefault="00B315C2">
      <w:r>
        <w:t>The historical v1.3 controlled bundle was frozen at an archival commit withheld for double-anonymous review after Paper Artifact CI regenerated all committed outputs successfully. Version 1.5 preserves the v1.4 corrective results and adds Experiment 6. Experiment 1A exercises end-to-end invariants of the candidate-side reference path; Experiment 1B tests Lens/role-prior differentiation with positive and negative controls; Experiment 3 tests candidate-answer semantic contracts; Experiment 4 adversarially verifies four mathematical-implementation corrections; Experiment 5 benchmarks the scoped binary hierarchy plug-in approximation; and Experiment 6 quantifies routing-shrinkage overlap under a prespecified K=5 synthetic design. No participant outcome dataset is used in these tests.</w:t>
      </w:r>
    </w:p>
    <w:p w14:paraId="18557E81" w14:textId="77777777" w:rsidR="0096742E" w:rsidRDefault="009F6C37">
      <w:pPr>
        <w:pStyle w:val="TableCaption"/>
      </w:pPr>
      <w:r>
        <w:t>Table 6. Controlled and corrective verification summary.</w:t>
      </w:r>
    </w:p>
    <w:p>
      <w:pPr/>
      <w:r>
        <w:t>For Experiment 5, PASS concerns numerical convergence only; estimator differences are descriptive and do not establish general K-category approximation accuracy or nominal coverage. For Experiment 6, PASS concerns protocol execution, numerical invariants, output completeness, and reproducibility, not routed-model superiority.</w:t>
      </w:r>
    </w:p>
    <w:tbl>
      <w:tblPr>
        <w:tblW w:w="9792" w:type="dxa"/>
        <w:jc w:val="center"/>
        <w:tblBorders>
          <w:top w:val="single" w:sz="4" w:space="0" w:color="B7C2CE"/>
          <w:left w:val="single" w:sz="4" w:space="0" w:color="B7C2CE"/>
          <w:bottom w:val="single" w:sz="4" w:space="0" w:color="B7C2CE"/>
          <w:right w:val="single" w:sz="4" w:space="0" w:color="B7C2CE"/>
          <w:insideH w:val="single" w:sz="4" w:space="0" w:color="B7C2CE"/>
          <w:insideV w:val="single" w:sz="4" w:space="0" w:color="B7C2CE"/>
        </w:tblBorders>
        <w:tblLayout w:type="fixed"/>
        <w:tblLook w:val="04A0" w:firstRow="1" w:lastRow="0" w:firstColumn="1" w:lastColumn="0" w:noHBand="0" w:noVBand="1"/>
      </w:tblPr>
      <w:tblGrid>
        <w:gridCol w:w="1656"/>
        <w:gridCol w:w="1368"/>
        <w:gridCol w:w="3744"/>
        <w:gridCol w:w="3024"/>
      </w:tblGrid>
      <w:tr w:rsidR="0096742E" w14:paraId="19FAD574" w14:textId="77777777">
        <w:trPr>
          <w:cantSplit/>
          <w:tblHeader/>
        </w:trPr>
        <w:tc>
          <w:tcPr>
            <w:tcW w:w="1656" w:type="dxa"/>
            <w:shd w:val="clear" w:color="auto" w:fill="E7EDF3"/>
            <w:vAlign w:val="center"/>
            <w:tcMar>
              <w:top w:w="70" w:type="dxa"/>
              <w:left w:w="70" w:type="dxa"/>
              <w:bottom w:w="70" w:type="dxa"/>
              <w:right w:w="70" w:type="dxa"/>
            </w:tcMar>
          </w:tcPr>
          <w:p w14:paraId="22E2D024" w14:textId="77777777" w:rsidR="0096742E" w:rsidRDefault="009F6C37">
            <w:pPr>
              <w:spacing w:after="20" w:before="20" w:line="252" w:lineRule="auto"/>
              <w:ind w:firstLine="0" w:left="0" w:right="0"/>
              <w:jc w:val="left"/>
            </w:pPr>
            <w:r>
              <w:rPr>
                <w:b/>
                <w:sz w:val="19"/>
              </w:rPr>
              <w:t>Experiment</w:t>
            </w:r>
          </w:p>
        </w:tc>
        <w:tc>
          <w:tcPr>
            <w:tcW w:w="1368" w:type="dxa"/>
            <w:shd w:val="clear" w:color="auto" w:fill="E7EDF3"/>
            <w:vAlign w:val="center"/>
            <w:tcMar>
              <w:top w:w="70" w:type="dxa"/>
              <w:left w:w="70" w:type="dxa"/>
              <w:bottom w:w="70" w:type="dxa"/>
              <w:right w:w="70" w:type="dxa"/>
            </w:tcMar>
          </w:tcPr>
          <w:p w14:paraId="7257AE2C" w14:textId="77777777" w:rsidR="0096742E" w:rsidRDefault="009F6C37">
            <w:pPr>
              <w:spacing w:after="20" w:before="20" w:line="252" w:lineRule="auto"/>
              <w:ind w:firstLine="0" w:left="0" w:right="0"/>
              <w:jc w:val="left"/>
            </w:pPr>
            <w:r>
              <w:rPr>
                <w:b/>
                <w:sz w:val="19"/>
              </w:rPr>
              <w:t>Cases</w:t>
            </w:r>
          </w:p>
        </w:tc>
        <w:tc>
          <w:tcPr>
            <w:tcW w:w="3744" w:type="dxa"/>
            <w:shd w:val="clear" w:color="auto" w:fill="E7EDF3"/>
            <w:vAlign w:val="center"/>
            <w:tcMar>
              <w:top w:w="70" w:type="dxa"/>
              <w:left w:w="70" w:type="dxa"/>
              <w:bottom w:w="70" w:type="dxa"/>
              <w:right w:w="70" w:type="dxa"/>
            </w:tcMar>
          </w:tcPr>
          <w:p w14:paraId="28C1B78F" w14:textId="77777777" w:rsidR="0096742E" w:rsidRDefault="009F6C37">
            <w:pPr>
              <w:spacing w:after="20" w:before="20" w:line="252" w:lineRule="auto"/>
              <w:ind w:firstLine="0" w:left="0" w:right="0"/>
              <w:jc w:val="left"/>
            </w:pPr>
            <w:r>
              <w:rPr>
                <w:b/>
                <w:sz w:val="19"/>
              </w:rPr>
              <w:t>Key controlled result</w:t>
            </w:r>
          </w:p>
        </w:tc>
        <w:tc>
          <w:tcPr>
            <w:tcW w:w="3024" w:type="dxa"/>
            <w:shd w:val="clear" w:color="auto" w:fill="E7EDF3"/>
            <w:vAlign w:val="center"/>
            <w:tcMar>
              <w:top w:w="70" w:type="dxa"/>
              <w:left w:w="70" w:type="dxa"/>
              <w:bottom w:w="70" w:type="dxa"/>
              <w:right w:w="70" w:type="dxa"/>
            </w:tcMar>
          </w:tcPr>
          <w:p w14:paraId="2AABC03E" w14:textId="77777777" w:rsidR="0096742E" w:rsidRDefault="009F6C37">
            <w:pPr>
              <w:spacing w:after="20" w:before="20" w:line="252" w:lineRule="auto"/>
              <w:ind w:firstLine="0" w:left="0" w:right="0"/>
              <w:jc w:val="left"/>
            </w:pPr>
            <w:r>
              <w:rPr>
                <w:b/>
                <w:sz w:val="19"/>
              </w:rPr>
              <w:t>Claim supported</w:t>
            </w:r>
          </w:p>
        </w:tc>
      </w:tr>
      <w:tr w:rsidR="0096742E" w14:paraId="37108898" w14:textId="77777777">
        <w:trPr>
          <w:cantSplit/>
        </w:trPr>
        <w:tc>
          <w:tcPr>
            <w:tcW w:w="1656" w:type="dxa"/>
            <w:vAlign w:val="center"/>
            <w:tcMar>
              <w:top w:w="70" w:type="dxa"/>
              <w:left w:w="70" w:type="dxa"/>
              <w:bottom w:w="70" w:type="dxa"/>
              <w:right w:w="70" w:type="dxa"/>
            </w:tcMar>
          </w:tcPr>
          <w:p w14:paraId="46DB8F31" w14:textId="77777777" w:rsidR="0096742E" w:rsidRDefault="009F6C37">
            <w:pPr>
              <w:spacing w:after="20" w:before="20" w:line="252" w:lineRule="auto"/>
              <w:ind w:firstLine="0" w:left="0" w:right="0"/>
              <w:jc w:val="left"/>
            </w:pPr>
            <w:r>
              <w:rPr>
                <w:sz w:val="19"/>
              </w:rPr>
              <w:t>1A - core invariants</w:t>
            </w:r>
          </w:p>
        </w:tc>
        <w:tc>
          <w:tcPr>
            <w:tcW w:w="1368" w:type="dxa"/>
            <w:vAlign w:val="center"/>
            <w:tcMar>
              <w:top w:w="70" w:type="dxa"/>
              <w:left w:w="70" w:type="dxa"/>
              <w:bottom w:w="70" w:type="dxa"/>
              <w:right w:w="70" w:type="dxa"/>
            </w:tcMar>
          </w:tcPr>
          <w:p w14:paraId="701132A6" w14:textId="77777777" w:rsidR="0096742E" w:rsidRDefault="009F6C37">
            <w:pPr>
              <w:spacing w:after="20" w:before="20" w:line="252" w:lineRule="auto"/>
              <w:ind w:firstLine="0" w:left="0" w:right="0"/>
              <w:jc w:val="left"/>
            </w:pPr>
            <w:r>
              <w:rPr>
                <w:sz w:val="19"/>
              </w:rPr>
              <w:t>7 / 7 PASS</w:t>
            </w:r>
          </w:p>
        </w:tc>
        <w:tc>
          <w:tcPr>
            <w:tcW w:w="3744" w:type="dxa"/>
            <w:vAlign w:val="center"/>
            <w:tcMar>
              <w:top w:w="70" w:type="dxa"/>
              <w:left w:w="70" w:type="dxa"/>
              <w:bottom w:w="70" w:type="dxa"/>
              <w:right w:w="70" w:type="dxa"/>
            </w:tcMar>
          </w:tcPr>
          <w:p w14:paraId="5ED10111" w14:textId="77777777" w:rsidR="0096742E" w:rsidRDefault="009F6C37">
            <w:pPr>
              <w:spacing w:after="20" w:before="20" w:line="252" w:lineRule="auto"/>
              <w:ind w:firstLine="0" w:left="0" w:right="0"/>
              <w:jc w:val="left"/>
            </w:pPr>
            <w:r>
              <w:rPr>
                <w:sz w:val="19"/>
              </w:rPr>
              <w:t>Adding 100 fresh, quality-1 but unauthorized records left weighted counts, effective mass, local posterior, final result SHA, and TV unchanged (TV = 0). Aging reduced support from 0.329345 to 0.219082 and triggered abstention; zero evidence, all-masked, no-route, and low-support cases failed closed.</w:t>
            </w:r>
          </w:p>
        </w:tc>
        <w:tc>
          <w:tcPr>
            <w:tcW w:w="3024" w:type="dxa"/>
            <w:vAlign w:val="center"/>
            <w:tcMar>
              <w:top w:w="70" w:type="dxa"/>
              <w:left w:w="70" w:type="dxa"/>
              <w:bottom w:w="70" w:type="dxa"/>
              <w:right w:w="70" w:type="dxa"/>
            </w:tcMar>
          </w:tcPr>
          <w:p w14:paraId="1322BF45" w14:textId="77777777" w:rsidR="0096742E" w:rsidRDefault="009F6C37">
            <w:pPr>
              <w:spacing w:after="20" w:before="20" w:line="252" w:lineRule="auto"/>
              <w:ind w:firstLine="0" w:left="0" w:right="0"/>
              <w:jc w:val="left"/>
            </w:pPr>
            <w:r>
              <w:rPr>
                <w:sz w:val="19"/>
              </w:rPr>
              <w:t>Authorization, support, routing, masking, and abstention behave as declared under synthetic inputs.</w:t>
            </w:r>
          </w:p>
        </w:tc>
      </w:tr>
      <w:tr w:rsidR="0096742E" w14:paraId="3FB1CBEA" w14:textId="77777777">
        <w:trPr>
          <w:cantSplit/>
        </w:trPr>
        <w:tc>
          <w:tcPr>
            <w:tcW w:w="1656" w:type="dxa"/>
            <w:vAlign w:val="center"/>
            <w:tcMar>
              <w:top w:w="70" w:type="dxa"/>
              <w:left w:w="70" w:type="dxa"/>
              <w:bottom w:w="70" w:type="dxa"/>
              <w:right w:w="70" w:type="dxa"/>
            </w:tcMar>
          </w:tcPr>
          <w:p w14:paraId="1054F07C" w14:textId="77777777" w:rsidR="0096742E" w:rsidRDefault="009F6C37">
            <w:pPr>
              <w:spacing w:after="20" w:before="20" w:line="252" w:lineRule="auto"/>
              <w:ind w:firstLine="0" w:left="0" w:right="0"/>
              <w:jc w:val="left"/>
            </w:pPr>
            <w:r>
              <w:rPr>
                <w:sz w:val="19"/>
              </w:rPr>
              <w:t>1B - Lens/role controls</w:t>
            </w:r>
          </w:p>
        </w:tc>
        <w:tc>
          <w:tcPr>
            <w:tcW w:w="1368" w:type="dxa"/>
            <w:vAlign w:val="center"/>
            <w:tcMar>
              <w:top w:w="70" w:type="dxa"/>
              <w:left w:w="70" w:type="dxa"/>
              <w:bottom w:w="70" w:type="dxa"/>
              <w:right w:w="70" w:type="dxa"/>
            </w:tcMar>
          </w:tcPr>
          <w:p w14:paraId="259A808B" w14:textId="77777777" w:rsidR="0096742E" w:rsidRDefault="009F6C37">
            <w:pPr>
              <w:spacing w:after="20" w:before="20" w:line="252" w:lineRule="auto"/>
              <w:ind w:firstLine="0" w:left="0" w:right="0"/>
              <w:jc w:val="left"/>
            </w:pPr>
            <w:r>
              <w:rPr>
                <w:sz w:val="19"/>
              </w:rPr>
              <w:t>11 / 11 PASS</w:t>
            </w:r>
          </w:p>
        </w:tc>
        <w:tc>
          <w:tcPr>
            <w:tcW w:w="3744" w:type="dxa"/>
            <w:vAlign w:val="center"/>
            <w:tcMar>
              <w:top w:w="70" w:type="dxa"/>
              <w:left w:w="70" w:type="dxa"/>
              <w:bottom w:w="70" w:type="dxa"/>
              <w:right w:w="70" w:type="dxa"/>
            </w:tcMar>
          </w:tcPr>
          <w:p w14:paraId="33421084" w14:textId="77777777" w:rsidR="0096742E" w:rsidRDefault="009F6C37">
            <w:pPr>
              <w:spacing w:after="20" w:before="20" w:line="252" w:lineRule="auto"/>
              <w:ind w:firstLine="0" w:left="0" w:right="0"/>
              <w:jc w:val="left"/>
            </w:pPr>
            <w:r>
              <w:rPr>
                <w:sz w:val="19"/>
              </w:rPr>
              <w:t>Company-prior positive controls had pairwise TV 0.0437005-0.092865; RBC/CIBC/BMO negative controls were exactly equal with TV = 0; five role-prior cases produced five distinct distributions.</w:t>
            </w:r>
          </w:p>
        </w:tc>
        <w:tc>
          <w:tcPr>
            <w:tcW w:w="3024" w:type="dxa"/>
            <w:vAlign w:val="center"/>
            <w:tcMar>
              <w:top w:w="70" w:type="dxa"/>
              <w:left w:w="70" w:type="dxa"/>
              <w:bottom w:w="70" w:type="dxa"/>
              <w:right w:w="70" w:type="dxa"/>
            </w:tcMar>
          </w:tcPr>
          <w:p w14:paraId="08805E64" w14:textId="77777777" w:rsidR="0096742E" w:rsidRDefault="009F6C37">
            <w:pPr>
              <w:spacing w:after="20" w:before="20" w:line="252" w:lineRule="auto"/>
              <w:ind w:firstLine="0" w:left="0" w:right="0"/>
              <w:jc w:val="left"/>
            </w:pPr>
            <w:r>
              <w:rPr>
                <w:sz w:val="19"/>
              </w:rPr>
              <w:t>Declared priors can alter practice distributions; labels alone do not create differences in the negative control.</w:t>
            </w:r>
          </w:p>
        </w:tc>
      </w:tr>
      <w:tr w:rsidR="0096742E" w14:paraId="394BAD11" w14:textId="77777777">
        <w:trPr>
          <w:cantSplit/>
        </w:trPr>
        <w:tc>
          <w:tcPr>
            <w:tcW w:w="1656" w:type="dxa"/>
            <w:vAlign w:val="center"/>
            <w:tcMar>
              <w:top w:w="70" w:type="dxa"/>
              <w:left w:w="70" w:type="dxa"/>
              <w:bottom w:w="70" w:type="dxa"/>
              <w:right w:w="70" w:type="dxa"/>
            </w:tcMar>
          </w:tcPr>
          <w:p w14:paraId="22E8A295" w14:textId="77777777" w:rsidR="0096742E" w:rsidRDefault="009F6C37">
            <w:pPr>
              <w:spacing w:after="20" w:before="20" w:line="252" w:lineRule="auto"/>
              <w:ind w:firstLine="0" w:left="0" w:right="0"/>
              <w:jc w:val="left"/>
            </w:pPr>
            <w:r>
              <w:rPr>
                <w:sz w:val="19"/>
              </w:rPr>
              <w:t>3 - semantic regression</w:t>
            </w:r>
          </w:p>
        </w:tc>
        <w:tc>
          <w:tcPr>
            <w:tcW w:w="1368" w:type="dxa"/>
            <w:vAlign w:val="center"/>
            <w:tcMar>
              <w:top w:w="70" w:type="dxa"/>
              <w:left w:w="70" w:type="dxa"/>
              <w:bottom w:w="70" w:type="dxa"/>
              <w:right w:w="70" w:type="dxa"/>
            </w:tcMar>
          </w:tcPr>
          <w:p w14:paraId="51B1E80C" w14:textId="77777777" w:rsidR="0096742E" w:rsidRDefault="009F6C37">
            <w:pPr>
              <w:spacing w:after="20" w:before="20" w:line="252" w:lineRule="auto"/>
              <w:ind w:firstLine="0" w:left="0" w:right="0"/>
              <w:jc w:val="left"/>
            </w:pPr>
            <w:r>
              <w:rPr>
                <w:sz w:val="19"/>
              </w:rPr>
              <w:t>6 / 6 oracle PASS</w:t>
            </w:r>
          </w:p>
        </w:tc>
        <w:tc>
          <w:tcPr>
            <w:tcW w:w="3744" w:type="dxa"/>
            <w:vAlign w:val="center"/>
            <w:tcMar>
              <w:top w:w="70" w:type="dxa"/>
              <w:left w:w="70" w:type="dxa"/>
              <w:bottom w:w="70" w:type="dxa"/>
              <w:right w:w="70" w:type="dxa"/>
            </w:tcMar>
          </w:tcPr>
          <w:p w14:paraId="311FFDDC" w14:textId="77777777" w:rsidR="0096742E" w:rsidRDefault="009F6C37">
            <w:pPr>
              <w:spacing w:after="20" w:before="20" w:line="252" w:lineRule="auto"/>
              <w:ind w:firstLine="0" w:left="0" w:right="0"/>
              <w:jc w:val="left"/>
            </w:pPr>
            <w:r>
              <w:rPr>
                <w:sz w:val="19"/>
              </w:rPr>
              <w:t>Historical baseline recorded 6 / 6 PASS; deterministic public oracle reproduced target-role, evidence-crediting, primary-gap, and Strong-Answer-Gate classifications for all six fixtures.</w:t>
            </w:r>
          </w:p>
        </w:tc>
        <w:tc>
          <w:tcPr>
            <w:tcW w:w="3024" w:type="dxa"/>
            <w:vAlign w:val="center"/>
            <w:tcMar>
              <w:top w:w="70" w:type="dxa"/>
              <w:left w:w="70" w:type="dxa"/>
              <w:bottom w:w="70" w:type="dxa"/>
              <w:right w:w="70" w:type="dxa"/>
            </w:tcMar>
          </w:tcPr>
          <w:p w14:paraId="335AB12C" w14:textId="77777777" w:rsidR="0096742E" w:rsidRDefault="009F6C37">
            <w:pPr>
              <w:spacing w:after="20" w:before="20" w:line="252" w:lineRule="auto"/>
              <w:ind w:firstLine="0" w:left="0" w:right="0"/>
              <w:jc w:val="left"/>
            </w:pPr>
            <w:r>
              <w:rPr>
                <w:sz w:val="19"/>
              </w:rPr>
              <w:t>Public semantic contract is internally reproducible; current production model was not rerun.</w:t>
            </w:r>
          </w:p>
        </w:tc>
      </w:tr>
      <w:tr w:rsidR="0096742E" w14:paraId="485CA185" w14:textId="77777777">
        <w:tc>
          <w:tcPr>
            <w:tcW w:w="1656" w:type="dxa"/>
            <w:vAlign w:val="center"/>
            <w:tcMar>
              <w:top w:w="70" w:type="dxa"/>
              <w:left w:w="70" w:type="dxa"/>
              <w:bottom w:w="70" w:type="dxa"/>
              <w:right w:w="70" w:type="dxa"/>
            </w:tcMar>
          </w:tcPr>
          <w:p w14:paraId="273B34FA" w14:textId="77777777" w:rsidR="0096742E" w:rsidRDefault="009F6C37">
            <w:pPr>
              <w:spacing w:before="20" w:after="20" w:line="252" w:lineRule="auto"/>
              <w:ind w:firstLine="0" w:left="0" w:right="0"/>
              <w:jc w:val="left"/>
            </w:pPr>
            <w:r>
              <w:rPr>
                <w:sz w:val="19"/>
              </w:rPr>
              <w:t>4 - adversarial alignment</w:t>
            </w:r>
          </w:p>
        </w:tc>
        <w:tc>
          <w:tcPr>
            <w:tcW w:w="1368" w:type="dxa"/>
            <w:vAlign w:val="center"/>
            <w:tcMar>
              <w:top w:w="70" w:type="dxa"/>
              <w:left w:w="70" w:type="dxa"/>
              <w:bottom w:w="70" w:type="dxa"/>
              <w:right w:w="70" w:type="dxa"/>
            </w:tcMar>
          </w:tcPr>
          <w:p w14:paraId="256C1F75" w14:textId="77777777" w:rsidR="0096742E" w:rsidRDefault="009F6C37">
            <w:pPr>
              <w:spacing w:before="20" w:after="20" w:line="252" w:lineRule="auto"/>
              <w:ind w:firstLine="0" w:left="0" w:right="0"/>
              <w:jc w:val="left"/>
            </w:pPr>
            <w:r>
              <w:rPr>
                <w:sz w:val="19"/>
              </w:rPr>
              <w:t>4 / 4 PASS</w:t>
            </w:r>
          </w:p>
        </w:tc>
        <w:tc>
          <w:tcPr>
            <w:tcW w:w="3744" w:type="dxa"/>
            <w:vAlign w:val="center"/>
            <w:tcMar>
              <w:top w:w="70" w:type="dxa"/>
              <w:left w:w="70" w:type="dxa"/>
              <w:bottom w:w="70" w:type="dxa"/>
              <w:right w:w="70" w:type="dxa"/>
            </w:tcMar>
          </w:tcPr>
          <w:p w14:paraId="3FFF8DAA" w14:textId="77777777" w:rsidR="0096742E" w:rsidRDefault="009F6C37">
            <w:pPr>
              <w:spacing w:before="20" w:after="20" w:line="252" w:lineRule="auto"/>
              <w:ind w:firstLine="0" w:left="0" w:right="0"/>
              <w:jc w:val="left"/>
            </w:pPr>
            <w:r>
              <w:rPr>
                <w:sz w:val="19"/>
              </w:rPr>
              <w:t>For α=(1,1), Eq.15 changed from legacy predictive reduction 0.056633012265 to parameter information gain 0.193147180560; two 0.9-confidence wrong predictions changed from vector ECE = 0 to top-label ECE = 0.9; masked-only evidence no longer raises released support; all-massless routing now abstains.</w:t>
            </w:r>
          </w:p>
        </w:tc>
        <w:tc>
          <w:tcPr>
            <w:tcW w:w="3024" w:type="dxa"/>
            <w:vAlign w:val="center"/>
            <w:tcMar>
              <w:top w:w="70" w:type="dxa"/>
              <w:left w:w="70" w:type="dxa"/>
              <w:bottom w:w="70" w:type="dxa"/>
              <w:right w:w="70" w:type="dxa"/>
            </w:tcMar>
          </w:tcPr>
          <w:p w14:paraId="49EA9B82" w14:textId="77777777" w:rsidR="0096742E" w:rsidRDefault="009F6C37">
            <w:pPr>
              <w:spacing w:before="20" w:after="20" w:line="252" w:lineRule="auto"/>
              <w:ind w:firstLine="0" w:left="0" w:right="0"/>
              <w:jc w:val="left"/>
            </w:pPr>
            <w:r>
              <w:rPr>
                <w:sz w:val="19"/>
              </w:rPr>
              <w:t>The four identified v1.3 counterexamples are reproduced and the v1.4 corrective invariants hold under deterministic adversarial fixtures.</w:t>
            </w:r>
          </w:p>
        </w:tc>
      </w:tr>
      <w:tr w:rsidR="0096742E" w14:paraId="1A9571ED" w14:textId="77777777">
        <w:tc>
          <w:tcPr>
            <w:tcW w:w="1656" w:type="dxa"/>
            <w:vAlign w:val="center"/>
            <w:tcMar>
              <w:top w:w="70" w:type="dxa"/>
              <w:left w:w="70" w:type="dxa"/>
              <w:bottom w:w="70" w:type="dxa"/>
              <w:right w:w="70" w:type="dxa"/>
            </w:tcMar>
          </w:tcPr>
          <w:p>
            <w:pPr>
              <w:spacing w:before="20" w:after="20" w:line="252" w:lineRule="auto"/>
              <w:ind w:firstLine="0" w:left="0" w:right="0"/>
              <w:jc w:val="left"/>
            </w:pPr>
            <w:r>
              <w:rPr>
                <w:sz w:val="19"/>
              </w:rPr>
              <w:t>5 - synthetic binary latent-parameter hierarchy-approximation benchmark</w:t>
            </w:r>
          </w:p>
        </w:tc>
        <w:tc>
          <w:tcPr>
            <w:tcW w:w="1368" w:type="dxa"/>
            <w:vAlign w:val="center"/>
            <w:tcMar>
              <w:top w:w="70" w:type="dxa"/>
              <w:left w:w="70" w:type="dxa"/>
              <w:bottom w:w="70" w:type="dxa"/>
              <w:right w:w="70" w:type="dxa"/>
            </w:tcMar>
          </w:tcPr>
          <w:p w14:paraId="2406DAF1" w14:textId="77777777" w:rsidR="0096742E" w:rsidRDefault="009F6C37">
            <w:pPr>
              <w:spacing w:before="20" w:after="20" w:line="252" w:lineRule="auto"/>
              <w:ind w:firstLine="0" w:left="0" w:right="0"/>
              <w:jc w:val="left"/>
            </w:pPr>
            <w:r>
              <w:rPr>
                <w:sz w:val="19"/>
              </w:rPr>
              <w:t>3 / 3 convergence PASS</w:t>
            </w:r>
          </w:p>
        </w:tc>
        <w:tc>
          <w:tcPr>
            <w:tcW w:w="3744" w:type="dxa"/>
            <w:vAlign w:val="center"/>
            <w:tcMar>
              <w:top w:w="70" w:type="dxa"/>
              <w:left w:w="70" w:type="dxa"/>
              <w:bottom w:w="70" w:type="dxa"/>
              <w:right w:w="70" w:type="dxa"/>
            </w:tcMar>
          </w:tcPr>
          <w:p w14:paraId="360A110A" w14:textId="77777777" w:rsidR="0096742E" w:rsidRDefault="009F6C37">
            <w:pPr>
              <w:spacing w:before="20" w:after="20" w:line="252" w:lineRule="auto"/>
              <w:ind w:firstLine="0" w:left="0" w:right="0"/>
              <w:jc w:val="left"/>
            </w:pPr>
            <w:r>
              <w:rPr>
                <w:sz w:val="19"/>
              </w:rPr>
              <w:t>Sparse: mean difference 0.0879884613 and reference/plugin interval-width ratio 1.2607183665; intermediate: 0.0100992793 and 1.1076648978; dense: 0.0009403292 and 1.0148796010. All 240→480 reference convergence deltas satisfy ≤5e-5.</w:t>
            </w:r>
          </w:p>
        </w:tc>
        <w:tc>
          <w:tcPr>
            <w:tcW w:w="3024" w:type="dxa"/>
            <w:vAlign w:val="center"/>
            <w:tcMar>
              <w:top w:w="70" w:type="dxa"/>
              <w:left w:w="70" w:type="dxa"/>
              <w:bottom w:w="70" w:type="dxa"/>
              <w:right w:w="70" w:type="dxa"/>
            </w:tcMar>
          </w:tcPr>
          <w:p w14:paraId="3B3C7D08" w14:textId="77777777" w:rsidR="0096742E" w:rsidRDefault="009F6C37">
            <w:pPr>
              <w:spacing w:before="20" w:after="20" w:line="252" w:lineRule="auto"/>
              <w:ind w:firstLine="0" w:left="0" w:right="0"/>
              <w:jc w:val="left"/>
            </w:pPr>
            <w:r>
              <w:rPr>
                <w:sz w:val="19"/>
              </w:rPr>
              <w:t>The plug-in approximation is most material in the declared sparse synthetic regime and narrows with denser evidence in these fixtures; pass/fail concerns numerical convergence only.</w:t>
            </w:r>
          </w:p>
        </w:tc>
      </w:tr>
      <w:tr w:rsidR="00B315C2" w14:paraId="67724065" w14:textId="77777777">
        <w:tc>
          <w:tcPr>
            <w:tcW w:w="1656" w:type="dxa"/>
            <w:vAlign w:val="center"/>
            <w:tcMar>
              <w:top w:w="70" w:type="dxa"/>
              <w:left w:w="70" w:type="dxa"/>
              <w:bottom w:w="70" w:type="dxa"/>
              <w:right w:w="70" w:type="dxa"/>
            </w:tcMar>
          </w:tcPr>
          <w:p w14:paraId="46B6860F" w14:textId="251D5F39" w:rsidR="00B315C2" w:rsidRDefault="00B315C2">
            <w:pPr>
              <w:spacing w:before="20" w:after="20" w:line="252" w:lineRule="auto"/>
              <w:ind w:firstLine="0" w:left="0" w:right="0"/>
              <w:jc w:val="left"/>
              <w:rPr>
                <w:sz w:val="17"/>
              </w:rPr>
            </w:pPr>
            <w:r>
              <w:rPr>
                <w:sz w:val="19"/>
              </w:rPr>
              <w:t>6 - routing-shrinkage overlap</w:t>
            </w:r>
          </w:p>
        </w:tc>
        <w:tc>
          <w:tcPr>
            <w:tcW w:w="1368" w:type="dxa"/>
            <w:vAlign w:val="center"/>
            <w:tcMar>
              <w:top w:w="70" w:type="dxa"/>
              <w:left w:w="70" w:type="dxa"/>
              <w:bottom w:w="70" w:type="dxa"/>
              <w:right w:w="70" w:type="dxa"/>
            </w:tcMar>
          </w:tcPr>
          <w:p w14:paraId="6341C75D" w14:textId="72DAE333" w:rsidR="00B315C2" w:rsidRDefault="00B315C2">
            <w:pPr>
              <w:spacing w:before="20" w:after="20" w:line="252" w:lineRule="auto"/>
              <w:ind w:firstLine="0" w:left="0" w:right="0"/>
              <w:jc w:val="left"/>
              <w:rPr>
                <w:sz w:val="17"/>
              </w:rPr>
            </w:pPr>
            <w:r>
              <w:rPr>
                <w:sz w:val="19"/>
              </w:rPr>
              <w:t>81 conditions; 40,500 paired realizations PASS</w:t>
            </w:r>
          </w:p>
        </w:tc>
        <w:tc>
          <w:tcPr>
            <w:tcW w:w="3744" w:type="dxa"/>
            <w:vAlign w:val="center"/>
            <w:tcMar>
              <w:top w:w="70" w:type="dxa"/>
              <w:left w:w="70" w:type="dxa"/>
              <w:bottom w:w="70" w:type="dxa"/>
              <w:right w:w="70" w:type="dxa"/>
            </w:tcMar>
          </w:tcPr>
          <w:p w14:paraId="6D8A136C" w14:textId="2226B824" w:rsidR="00B315C2" w:rsidRDefault="00B315C2">
            <w:pPr>
              <w:spacing w:before="20" w:after="20" w:line="252" w:lineRule="auto"/>
              <w:ind w:firstLine="0" w:left="0" w:right="0"/>
              <w:jc w:val="left"/>
              <w:rPr>
                <w:sz w:val="17"/>
              </w:rPr>
            </w:pPr>
            <w:r>
              <w:rPr>
                <w:sz w:val="19"/>
              </w:rPr>
              <w:t>Across the prespecified K=5 synthetic grid, condition-level mean log loss, Brier score, and TV-to-truth improved in 71/81, 71/81, and 70/81 conditions, respectively. All 10 mean log-loss degradations occurred under strong broader-context mismatch (rho = 0.8). The strongest degradation was n_c=50, rho=0.8, kappa_c=20, gamma=0.9 (delta log loss +0.0378273851); the strongest improvement was n_c=2, rho=0.1, kappa_c=2, gamma=0.9 (delta log loss -0.1714134812).</w:t>
            </w:r>
          </w:p>
        </w:tc>
        <w:tc>
          <w:tcPr>
            <w:tcW w:w="3024" w:type="dxa"/>
            <w:vAlign w:val="center"/>
            <w:tcMar>
              <w:top w:w="70" w:type="dxa"/>
              <w:left w:w="70" w:type="dxa"/>
              <w:bottom w:w="70" w:type="dxa"/>
              <w:right w:w="70" w:type="dxa"/>
            </w:tcMar>
          </w:tcPr>
          <w:p w14:paraId="651811DD" w14:textId="4272F593" w:rsidR="00B315C2" w:rsidRDefault="00B315C2">
            <w:pPr>
              <w:spacing w:before="20" w:after="20" w:line="252" w:lineRule="auto"/>
              <w:ind w:firstLine="0" w:left="0" w:right="0"/>
              <w:jc w:val="left"/>
              <w:rPr>
                <w:sz w:val="17"/>
              </w:rPr>
            </w:pPr>
            <w:r>
              <w:rPr>
                <w:sz w:val="19"/>
              </w:rPr>
              <w:t>Routing adds regime-dependent broader-context influence after shrinkage: it can help sparse/aligned regimes and can over-smooth under strong mismatch. PASS concerns execution and reproducibility only, not superiority.</w:t>
            </w:r>
          </w:p>
        </w:tc>
      </w:tr>
    </w:tbl>
    <w:p w14:paraId="724058A7" w14:textId="77777777" w:rsidR="0096742E" w:rsidRDefault="009F6C37">
      <w:r>
        <w:t>Experiment 1B is structural verification rather than evidence that any named employer follows the frozen prior. The company-name negative control is particularly important: when company and role priors were held identical, changing the company label produced no output difference. Conversely, the positive controls show only that different declared priors propagate through the reference inference path as intended.</w:t>
      </w:r>
    </w:p>
    <w:p w14:paraId="2995EA6B" w14:textId="77777777" w:rsidR="0096742E" w:rsidRDefault="009F6C37">
      <w:pPr>
        <w:pStyle w:val="Heading2"/>
      </w:pPr>
      <w:r>
        <w:t>7.8 Parameter Sensitivity and Controlled Ablations</w:t>
      </w:r>
    </w:p>
    <w:p w14:paraId="774EC623" w14:textId="77777777" w:rsidR="0096742E" w:rsidRDefault="009F6C37">
      <w:r>
        <w:t>Experiment 2 uses one-factor sensitivity rather than a forced lambda0 x gamma x delta factorial because the three quantities occupy different implementation layers. The routing discount gamma operates on backoff mixture weights; delta operates on temporal evidence weighting; and lambda0 is treated as a lower-level prior concentration rather than as a PracticeRequest field. The purpose is directional verification, not hyperparameter optimization.</w:t>
      </w:r>
    </w:p>
    <w:p w14:paraId="2414208E" w14:textId="77777777" w:rsidR="0096742E" w:rsidRDefault="009F6C37">
      <w:r>
        <w:t>The sensitivity results therefore support parameter honesty rather than parameter optimality: the reference implementation changes in the declared direction when each parameter is perturbed, but the tested values are not validated as universally optimal settings.</w:t>
      </w:r>
    </w:p>
    <w:p w14:paraId="3331BA88" w14:textId="77777777" w:rsidR="0096742E" w:rsidRDefault="009F6C37">
      <w:r>
        <w:t>A2 and A4 show the expected partial-pooling pattern: the advantage is largest when company-local evidence is sparse and narrows as n increases. A6 is restricted to the declared synthetic drift process. These are mechanism tests against known synthetic truths; they do not establish performance on real interview corpora.</w:t>
      </w:r>
    </w:p>
    <w:p w14:paraId="15CDD02C" w14:textId="77777777" w:rsidR="0096742E" w:rsidRDefault="009F6C37">
      <w:pPr>
        <w:pStyle w:val="Heading2"/>
      </w:pPr>
      <w:r>
        <w:t>7.9 Candidate-Answer Semantic Regression</w:t>
      </w:r>
    </w:p>
    <w:p w14:paraId="13B7D685" w14:textId="77777777" w:rsidR="0096742E" w:rsidRDefault="009F6C37">
      <w:r>
        <w:t>Experiment 3 preserves six public-safe Aha Moment regression fixtures. The historical source record states that all six previously passed their semantic release gate. Because the public artifact does not contain the full proprietary generation prompt or the historical model responses, version 1.4 does not claim a current language-model rerun. Instead, a transparent deterministic oracle re-evaluates coarse semantic features including target-role clarity, measurable impact, technical reasoning, project owners</w:t>
      </w:r>
      <w:r>
        <w:t>hip, collaboration, mentoring, senior scope, unsupported self-claims, and role-fit connection.</w:t>
      </w:r>
    </w:p>
    <w:p w14:paraId="0EAD5814" w14:textId="77777777" w:rsidR="0096742E" w:rsidRDefault="009F6C37">
      <w:r>
        <w:t>All six fixtures matched their expected contract. AHA-001 credited measurable impact and left ownership/senior scope unresolved; AHA-002 classified unsupported self-claims as an evidence/ownership gap; AHA-003 credited the reported 1.8-second to 900-millisecond performance improvement and retained senior-scope probing; AHA-004 returned target role = Not clearly stated rather than inferring it from current occupation; and AHA-005 and AHA-006 passed the Strong Answer Gate into Validation Probe mode. In AHA-00</w:t>
      </w:r>
      <w:r>
        <w:t>6, the fixture marks non-native-English surface variation, but that flag is excluded from the gate. This single controlled case is not fairness validation, does not estimate subgroup disparity, and should not be generalized to accent or language populations.</w:t>
      </w:r>
    </w:p>
    <w:p w14:paraId="2B18ADBD" w14:textId="77777777" w:rsidR="0096742E" w:rsidRDefault="009F6C37">
      <w:r>
        <w:t>Response-level historical requirements - such as no Quick Score, no complete replacement answer, no more than two follow-ups, and a voice-friendly response under 180 words - were not re-executed because they require generated response text. They remain historical contract items pending a separately archived current-model evaluation.</w:t>
      </w:r>
    </w:p>
    <w:p w14:paraId="6CCE0785" w14:textId="77777777" w:rsidR="0096742E" w:rsidRDefault="009F6C37">
      <w:pPr>
        <w:pStyle w:val="Heading2"/>
      </w:pPr>
      <w:r>
        <w:t>7.10 End-to-End Numeric Trace and Reproducibility</w:t>
      </w:r>
    </w:p>
    <w:p w14:paraId="37036DAE" w14:textId="77777777" w:rsidR="0096742E" w:rsidRDefault="009F6C37">
      <w:r>
        <w:t>Experiment 1A also exposes a complete numeric trace for one supported baseline. Four authorized records produced weighted counts of ownership = 0.894106, evidence = 1.776622, reflection = 0.525275, tradeoff = 0, and collaboration = 0, for effective evidence mass 3.196003. Hierarchical updating produced a local posterior of evidence = 0.388932, ownership = 0.240768, reflection = 0.135415, tradeoff = 0.130491, and collaboration = 0.104393. After compatibility masking removed collaboration and renormalized the</w:t>
      </w:r>
      <w:r>
        <w:t xml:space="preserve"> remaining categories, evidence = 0.434267, ownership = 0.268833, reflection = 0.151199, and tradeoff = 0.145702.</w:t>
      </w:r>
    </w:p>
    <w:p w14:paraId="19938980" w14:textId="77777777" w:rsidR="0096742E" w:rsidRDefault="009F6C37">
      <w:r>
        <w:t xml:space="preserve">Routing then combined L0, L3, and L5 with normalized weights 0.617269, 0.249725, and 0.133006. The resulting diagnostic distribution was evidence = 0.391886, ownership = 0.269704, tradeoff = 0.184885, and reflection = 0.153524, with normalized entropy 0.952409 and data support 0.329345. Because support exceeded the declared threshold 0.3, the output mode was ordered_practice_priority with priority order evidence &gt; ownership &gt; tradeoff &gt; reflection. This trace makes the transformation from evidence to final </w:t>
      </w:r>
      <w:r>
        <w:t>practice priority inspectable rather than relying on a black-box language-model explanation.</w:t>
      </w:r>
    </w:p>
    <w:p>
      <w:pPr/>
      <w:r>
        <w:t>The support scale τ=8 and release threshold 0.3 in this trace are illustrative fixture settings, not empirically calibrated release criteria.</w:t>
      </w:r>
    </w:p>
    <w:p w14:paraId="4C0EAC72" w14:textId="77777777" w:rsidR="0096742E" w:rsidRDefault="009F6C37">
      <w:r>
        <w:t xml:space="preserve">Reproducibility is enforced by the repository workflow. The experiment runners are deterministic and dependency-free. The v1.4 branch adds Experiments 4 and 5 to the earlier 1A/1B/2/3 bundle and separately validates documentation alignment. Experiment 5 received a v0.1.1 serialization-only reproducibility amendment after the first Linux/Python 3.11 regeneration exposed platform line endings and sub-tolerance floating-point tails; its model, fixtures, 240/480 grids, 5e-5 convergence tolerance, and pass/fail </w:t>
      </w:r>
      <w:r>
        <w:t>criteria were unchanged. At corrective baseline commit [CORRECTIVE BASELINE COMMIT WITHHELD FOR REVIEW], GitHub Paper Artifact CI on Python 3.11 reran Experiments 1A, 1B, 2, 3, 4, and 5 and required a zero git diff across committed experiment outputs; the gate passed.</w:t>
      </w:r>
    </w:p>
    <w:p w14:paraId="69FA6D0D" w14:textId="385DDBF6" w:rsidR="0096742E" w:rsidRDefault="00B315C2">
      <w:r>
        <w:t>Version 1.5 preserves the v1.3 execution of A2, A3, A4, and A6 under controlled synthetic conditions. A1 (similar-company retrieval) and A5 (human explainability/evidence-lineage usefulness) remain deliberately unexecuted because they require an external retrieval ground truth and human evaluation, respectively.</w:t>
      </w:r>
    </w:p>
    <w:p w14:paraId="47366B2E" w14:textId="77777777" w:rsidR="0096742E" w:rsidRDefault="009F6C37">
      <w:pPr>
        <w:pStyle w:val="Heading2"/>
      </w:pPr>
      <w:r>
        <w:t>7.11 Adversarial Mathematical Alignment</w:t>
      </w:r>
    </w:p>
    <w:p w14:paraId="0DBAAD4A" w14:textId="700188AC" w:rsidR="0096742E" w:rsidRDefault="002D6DDD">
      <w:r>
        <w:t>Experiment 4 targets the four corrective findings that were not exercised by the frozen v1.3 tests. E4-01 reproduces the Eq.15 mismatch at alpha=(1,1): the legacy predictive category-entropy reduction is 0.056633012265, while the corrected parameter-posterior information gain is 0.193147180560. E4-02 is an N=2 definitional/adversarial metric fixture with two opposing 0.9-confidence wrong predictions: the legacy vector diagnostic cancels to zero, whereas top-label ECE is 0.9; Brier score and log loss are also positive. E4-03 shows that 100 fresh masked-category records could previously move a below-threshold request to release, while the corrected service computes support only over permitted categories and abstains. E4-04 shows that zero-permitted-mass routing components previously acquired artificial uniform mass; the corrected router excludes them and the all-massless service case abstains with no_supported_routing_mass.</w:t>
      </w:r>
    </w:p>
    <w:p w14:paraId="4D96A0BC" w14:textId="77777777" w:rsidR="0096742E" w:rsidRDefault="009F6C37">
      <w:r>
        <w:t>The experiment is intentionally adversarial and deterministic. It supports a claim of internal mathematical–implementation correction only. It is not a calibration study on real participants, an employer-behavior validation, or an employment-outcome evaluation.</w:t>
      </w:r>
    </w:p>
    <w:p w14:paraId="26A1369F" w14:textId="40D8CEBE" w:rsidR="0096742E" w:rsidRDefault="002D6DDD">
      <w:pPr>
        <w:pStyle w:val="Heading2"/>
      </w:pPr>
      <w:r>
        <w:t>7.12 Synthetic Binary Latent-Parameter Hierarchy-Approximation Benchmark</w:t>
      </w:r>
    </w:p>
    <w:p w14:paraId="11B941F0" w14:textId="0C7F2BB2" w:rsidR="0096742E" w:rsidRDefault="002D6DDD">
      <w:r>
        <w:t>Experiment 5 isolates one uncertainty-propagation consequence of the recursive plug-in hierarchy in a binary special case (K=2). The reference is conditional on a fixed generic base probability pi=0.5 with kappa_a=kappa_i=kappa_c=8. Synthetic observations are present at archetype, industry, and company levels. The uncertainty-propagating reference uses deterministic midpoint quadrature over the latent archetype and industry probabilities (240 nodes per dimension, checked at 480); the company-level theta posterior is represented as the corresponding conditional Beta mixture. The sparse fixture produced a plug-in company mean of 0.6488340192 versus 0.7368224805 for the reference, with interval-width ratio 1.2607183665. The intermediate differences were 0.0100992793 in mean and 1.1076648978 in width ratio; the dense differences were 0.0009403292 and 1.0148796010.</w:t>
      </w:r>
    </w:p>
    <w:p w14:paraId="0B23554E" w14:textId="40BD4DA5" w:rsidR="0096742E" w:rsidRDefault="002D6DDD">
      <w:r>
        <w:t>All three reference calculations satisfied the pre-specified 5e-5 numerical-convergence tolerance. Pass/fail concerns numerical convergence only; estimator differences are descriptive. The benchmark does not establish general K-category approximation accuracy, nominal repeated-sampling coverage, simulation-based calibration, random-root uncertainty, or sensitivity to alternative hierarchy concentrations. It therefore supports only a scoped implementation claim: under the declared binary fixtures, the plug-in approximation departs most from the uncertainty-propagating reference in the sparse regime and converges more closely in the denser fixtures.</w:t>
      </w:r>
    </w:p>
    <w:p w14:paraId="6655D725" w14:textId="77777777" w:rsidR="0096742E" w:rsidRDefault="009F6C37">
      <w:r>
        <w:rPr>
          <w:rFonts w:eastAsia="Times New Roman"/>
          <w:color w:val="232323"/>
        </w:rPr>
        <w:pict w14:anchorId="49A0936E">
          <v:rect id="_x0000_i1031" style="width:0;height:.75pt" o:hralign="center" o:hrstd="t" o:hr="t" fillcolor="#a0a0a0" stroked="f"/>
        </w:pict>
      </w:r>
    </w:p>
    <w:p w14:paraId="050A804F" w14:textId="77777777" w:rsidR="00974A14" w:rsidRDefault="00974A14" w:rsidP="00974A14">
      <w:pPr>
        <w:pStyle w:val="Heading2"/>
      </w:pPr>
      <w:r>
        <w:t>7.13 Routing-Shrinkage Overlap Ablation</w:t>
      </w:r>
    </w:p>
    <w:p w14:paraId="0505BD20" w14:textId="77777777" w:rsidR="00974A14" w:rsidRDefault="00974A14" w:rsidP="00974A14">
      <w:r>
        <w:t>Experiment 6 was pre-specified before result-bearing execution to test the additional broader-context influence of routing after company-level shrinkage toward L3. The K=5 factorial crosses local sample sizes {2,10,50}, mismatch ρ in {0.10,0.40,0.80}, company concentration κc in {2,6,20}, and routing discount γ in {0.4,0.7,0.9}, with five cyclic truth rotations and 100 paired training replicates per rotation-condition. The same training sample and 200 held-out observations are used for both paths in each replicate. This yields 81 primary conditions, 40,500 paired L0-only versus routed realizations, and 8.1 million synthetic held-out observations. Primary exact-population comparative metrics are log loss, expected multiclass Brier score, and total variation (TV) to known company truth. Direct overlap diagnostics report routing-shift TV, normalized entropy, and top-category retention. Held-out log loss and Brier are also reported; top-label ECE and accuracy are secondary diagnostics. Supplementary Section S5 specifies the design and reporting conventions.</w:t>
      </w:r>
    </w:p>
    <w:p w14:paraId="476ACDB0" w14:textId="77777777" w:rsidR="00974A14" w:rsidRDefault="00974A14" w:rsidP="00974A14">
      <w:r>
        <w:t>Routing effects were regime-dependent. Mean exact log loss improved in 71 of 81 conditions, mean Brier score in 71, and mean TV to truth in 70. The equally weighted averages of condition-level mean deltas were -0.03146 for log loss, -0.01116 for Brier, and -0.02853 for TV, with delta defined as routed minus L0-only and negative values favoring routing. All 10 conditions with worsened mean log loss had strong broader-context mismatch (ρ=0.8). The strongest degradation occurred at n_c=50, κc=20, and γ=0.9: log-loss delta +0.03783, Brier delta +0.01517, TV delta +0.05976, and mean routing shift 0.11576. Only 2.8% of paired replicates in that condition improved log loss. The largest mean improvement occurred at n_c=2, ρ=0.1, κc=2, and γ=0.9 (log-loss delta −0.17141).</w:t>
      </w:r>
    </w:p>
    <w:p>
      <w:pPr/>
      <w:r>
        <w:t>Hierarchical shrinkage and routing are semantically distinct but numerically interacting mechanisms. Within this declared synthetic design, additional routing can help sparse, aligned regimes and can over-smooth an already-supported local estimate when broader context is mismatched. This does not establish an optimal routing rule, optimal γ or κc, real-employer validity, external calibration, fairness, candidate benefit, or the presence or absence of double borrowing in real deployments. Mismatch-aware routing is a future evaluation question, not a validated policy derived from these results.</w:t>
      </w:r>
    </w:p>
    <w:p>
      <w:pPr/>
      <w:r>
        <w:t>Committed Experiment 6 outputs were regenerated with zero diff on Windows/Python 3.11.9 and GitHub Actions Ubuntu/Python 3.11. The protocol, implementation, first result-bearing run, and independent regeneration were committed in that order. This reproducibility gate establishes agreement with the committed outputs, not predictive superiority or external validity.</w:t>
      </w:r>
    </w:p>
    <w:p w14:paraId="062B8B86" w14:textId="7BFA2BAF" w:rsidR="0096742E" w:rsidRDefault="009F6C37">
      <w:pPr>
        <w:pStyle w:val="Heading1"/>
        <w:rPr>
          <w:bCs/>
        </w:rPr>
      </w:pPr>
      <w:r>
        <w:t>8</w:t>
      </w:r>
      <w:r>
        <w:t xml:space="preserve"> Reference Integration and Open-System Boundary</w:t>
      </w:r>
    </w:p>
    <w:p w14:paraId="4F94486E" w14:textId="77777777" w:rsidR="0096742E" w:rsidRDefault="009F6C37">
      <w:r>
        <w:t>AIMS Lens Engine is designed as an independently deployable, institution-agnostic reasoning service. Reference Integration A is its first deep reference integration, not an architectural prerequisite and not external empirical validation of the framework. The controlled verification in Section 7 tests the public reasoning artifact under synthetic or public-safe fixtures; the integration boundary remains deliberately designed so that universities, career-service organizations, researchers, or other clients c</w:t>
      </w:r>
      <w:r>
        <w:t>an adopt the engine without inheriting Reference Integration A identity, billing, user-history, or tenant-specific data structures.</w:t>
      </w:r>
    </w:p>
    <w:p w14:paraId="06AB7902" w14:textId="77777777" w:rsidR="0096742E" w:rsidRDefault="009F6C37">
      <w:pPr>
        <w:pStyle w:val="Heading2"/>
        <w:rPr>
          <w:bCs/>
        </w:rPr>
      </w:pPr>
      <w:r>
        <w:t>8.1 Institution-Agnostic Service Architecture</w:t>
      </w:r>
    </w:p>
    <w:p w14:paraId="5A9053A5" w14:textId="77777777" w:rsidR="0096742E" w:rsidRDefault="009F6C37">
      <w:pPr>
        <w:jc w:val="center"/>
      </w:pPr>
      <w:r>
        <w:rPr>
          <w:noProof/>
        </w:rPr>
        <w:drawing>
          <wp:inline distT="0" distB="0" distL="0" distR="0" wp14:anchorId="52FA9A5A" wp14:editId="73004D1A">
            <wp:extent cx="5897880" cy="3807612"/>
            <wp:effectExtent l="0" t="0" r="0" b="0"/>
            <wp:docPr id="5" name="Picture 5" descr="Institution-agnostic AIMS Lens Engine service boundary showing client integrations, public research components, and separation from protected production ass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ms_v11_figure2.png"/>
                    <pic:cNvPicPr/>
                  </pic:nvPicPr>
                  <pic:blipFill>
                    <a:blip r:embed="rId8"/>
                    <a:stretch>
                      <a:fillRect/>
                    </a:stretch>
                  </pic:blipFill>
                  <pic:spPr>
                    <a:xfrm>
                      <a:off x="0" y="0"/>
                      <a:ext cx="5897880" cy="3807612"/>
                    </a:xfrm>
                    <a:prstGeom prst="rect">
                      <a:avLst/>
                    </a:prstGeom>
                  </pic:spPr>
                </pic:pic>
              </a:graphicData>
            </a:graphic>
          </wp:inline>
        </w:drawing>
      </w:r>
    </w:p>
    <w:p w14:paraId="6DE5B66F" w14:textId="77777777" w:rsidR="0096742E" w:rsidRDefault="009F6C37">
      <w:pPr>
        <w:pStyle w:val="FigureCaption"/>
      </w:pPr>
      <w:r>
        <w:t>Figure 2. Institution-agnostic AIMS Lens Engine service boundary, reference integrations, and separation of public research artifacts from protected client or production assets.</w:t>
      </w:r>
    </w:p>
    <w:p w14:paraId="12BDAE75" w14:textId="77777777" w:rsidR="0096742E" w:rsidRDefault="009F6C37">
      <w:pPr>
        <w:pStyle w:val="Heading2"/>
        <w:rPr>
          <w:bCs/>
        </w:rPr>
      </w:pPr>
      <w:r>
        <w:t>8.2 Versioned API and Data Boundary</w:t>
      </w:r>
    </w:p>
    <w:p w14:paraId="11DA744E" w14:textId="77777777" w:rsidR="0096742E" w:rsidRDefault="009F6C37">
      <w:r>
        <w:t>Client applications call versioned interfaces for operations such as Lens parsing and validation, context routing, follow-up-priority selection, and explanation retrieval. The Lens Core receives only the features required for the decision; client identity and product workflow remain outside the engine. A minimized request schema is provided in Supplementary Listing S7.</w:t>
      </w:r>
    </w:p>
    <w:p w14:paraId="4CD05782" w14:textId="77777777" w:rsidR="0096742E" w:rsidRDefault="009F6C37">
      <w:r>
        <w:t>A Reference Integration A user's drill history may adapt the user's next exercise within Reference Integration A, subject to consent and retention policy, but it does not become standing evidence about an employer's interview practice.</w:t>
      </w:r>
    </w:p>
    <w:p w14:paraId="2094A3D5" w14:textId="77777777" w:rsidR="0096742E" w:rsidRDefault="009F6C37">
      <w:pPr>
        <w:pStyle w:val="Heading2"/>
      </w:pPr>
      <w:r>
        <w:t>8.3 Open-Source and Protected-Asset Boundary</w:t>
      </w:r>
    </w:p>
    <w:p w14:paraId="015DDE40" w14:textId="77777777" w:rsidR="0096742E" w:rsidRDefault="009F6C37">
      <w:r>
        <w:t>The publicly released AIMS Lens Engine is intended to contain the general protocol, schemas, validators, implementation components, publicly safe Lens assets, and synthetic or example data needed to inspect and deploy the framework. The public artifact does not include Reference Integration A user data, candidate records, real practice transcripts, tenant-specific configuration, confidential organizational evidence, production credentials, or proprietary production policies. This boundary allows the reasoni</w:t>
      </w:r>
      <w:r>
        <w:t>ng architecture and data contracts to be inspected without exposing personal or operationally sensitive information.</w:t>
      </w:r>
    </w:p>
    <w:p w14:paraId="0923F5C0" w14:textId="77777777" w:rsidR="0096742E" w:rsidRDefault="009F6C37">
      <w:r>
        <w:t>Client systems should not copy the Lens algorithms into product-specific forks as a prerequisite for integration. Instead, they call versioned interfaces such as parse/validate Lens, obtain routing and follow-up priority, and retrieve an explanation or provenance chain. New engine features are therefore specified in institution-agnostic terms such as tenant, role context, candidate-state features, and evidence lineage rather than Reference Integration A-specific fields.</w:t>
      </w:r>
    </w:p>
    <w:p w14:paraId="6FB9FBD4" w14:textId="77777777" w:rsidR="0096742E" w:rsidRDefault="009F6C37">
      <w:pPr>
        <w:pStyle w:val="Heading2"/>
        <w:rPr>
          <w:bCs/>
        </w:rPr>
      </w:pPr>
      <w:r>
        <w:t>8.4 Reference Integration A as the First Reference Integration</w:t>
      </w:r>
    </w:p>
    <w:p w14:paraId="43977894" w14:textId="77777777" w:rsidR="0096742E" w:rsidRDefault="009F6C37">
      <w:pPr>
        <w:spacing w:before="100" w:after="40"/>
        <w:jc w:val="center"/>
      </w:pPr>
      <w:r>
        <w:rPr>
          <w:rFonts w:eastAsia="Times New Roman"/>
          <w:noProof/>
          <w:color w:val="232323"/>
        </w:rPr>
        <w:drawing>
          <wp:inline distT="0" distB="0" distL="0" distR="0" wp14:anchorId="6D9AD98D" wp14:editId="6898E0D8">
            <wp:extent cx="5806440" cy="5502983"/>
            <wp:effectExtent l="0" t="0" r="0" b="0"/>
            <wp:docPr id="3" name="Picture 3" descr="Evidence-conditioned interview-practice feedback loop from AI interviewer question through candidate answer, Lens analysis, focused follow-up, candidate response, and evidence-based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teraction.png"/>
                    <pic:cNvPicPr/>
                  </pic:nvPicPr>
                  <pic:blipFill>
                    <a:blip r:embed="rId9"/>
                    <a:stretch>
                      <a:fillRect/>
                    </a:stretch>
                  </pic:blipFill>
                  <pic:spPr>
                    <a:xfrm>
                      <a:off x="0" y="0"/>
                      <a:ext cx="5806440" cy="5502983"/>
                    </a:xfrm>
                    <a:prstGeom prst="rect">
                      <a:avLst/>
                    </a:prstGeom>
                  </pic:spPr>
                </pic:pic>
              </a:graphicData>
            </a:graphic>
          </wp:inline>
        </w:drawing>
      </w:r>
    </w:p>
    <w:p w14:paraId="24F9A317" w14:textId="77777777" w:rsidR="0096742E" w:rsidRDefault="009F6C37">
      <w:pPr>
        <w:pStyle w:val="FigureCaption"/>
      </w:pPr>
      <w:r>
        <w:t>Figure 3. Example evidence-conditioned practice interaction and feedback loop.</w:t>
      </w:r>
    </w:p>
    <w:p w14:paraId="17F278EF" w14:textId="77777777" w:rsidR="0096742E" w:rsidRDefault="009F6C37">
      <w:r>
        <w:t>In this illustrative interaction, numeric values attached to ordered alternatives are internal normalized priority weights for ranking practice options; they should not be presented as calibrated probabilities of what a real employer will ask unless the evaluation-ready conditions in Section 7 have been satisfied.</w:t>
      </w:r>
    </w:p>
    <w:p w14:paraId="3140BC31" w14:textId="77777777" w:rsidR="0096742E" w:rsidRDefault="009F6C37">
      <w:pPr>
        <w:pStyle w:val="Heading2"/>
        <w:rPr>
          <w:bCs/>
        </w:rPr>
      </w:pPr>
      <w:r>
        <w:t>8.5 Data Governance in the Reference Integration</w:t>
      </w:r>
    </w:p>
    <w:p w14:paraId="4C16188E" w14:textId="77777777" w:rsidR="0096742E" w:rsidRDefault="009F6C37">
      <w:pPr>
        <w:spacing w:before="80" w:after="160"/>
      </w:pPr>
      <w:r>
        <w:t>Note. Retention periods in this illustrative integration are non-normative architecture examples, not statements of current Reference Integration A production policy. Production retention must follow the verified privacy and records policy in force at deployment.</w:t>
      </w:r>
    </w:p>
    <w:p w14:paraId="1E3BF351" w14:textId="77777777" w:rsidR="0096742E" w:rsidRDefault="009F6C37">
      <w:r>
        <w:rPr>
          <w:rFonts w:eastAsia="Times New Roman"/>
          <w:color w:val="232323"/>
        </w:rPr>
        <w:pict w14:anchorId="3044C45E">
          <v:rect id="_x0000_i1032" style="width:0;height:.75pt" o:hralign="center" o:hrstd="t" o:hr="t" fillcolor="#a0a0a0" stroked="f"/>
        </w:pict>
      </w:r>
    </w:p>
    <w:p w14:paraId="7CF21C66" w14:textId="77777777" w:rsidR="0096742E" w:rsidRDefault="009F6C37">
      <w:pPr>
        <w:pStyle w:val="Heading1"/>
        <w:rPr>
          <w:bCs/>
        </w:rPr>
      </w:pPr>
      <w:r>
        <w:t>9 Operational Safeguards and Societal Considerations</w:t>
      </w:r>
    </w:p>
    <w:p w14:paraId="6F387B2C" w14:textId="77777777" w:rsidR="0096742E" w:rsidRDefault="009F6C37">
      <w:pPr>
        <w:pStyle w:val="Heading2"/>
        <w:rPr>
          <w:bCs/>
        </w:rPr>
      </w:pPr>
      <w:r>
        <w:t>9.1 Employment Technology as Preparation Aid</w:t>
      </w:r>
    </w:p>
    <w:p w14:paraId="64DA4C94" w14:textId="77777777" w:rsidR="0096742E" w:rsidRDefault="009F6C37">
      <w:r>
        <w:t>Employment technology can affect opportunity, confidence, privacy, and the perceived legitimacy of selection systems. AIMS is designed as a candidate-side preparation aid rather than an automated hiring decision system. Its ethical purpose is to reduce informational asymmetry in practice without claiming privileged access to confidential employer processes or encouraging users to game them. It must not:</w:t>
      </w:r>
    </w:p>
    <w:p w14:paraId="25B8C4E0" w14:textId="77777777" w:rsidR="0096742E" w:rsidRDefault="009F6C37">
      <w:pPr>
        <w:numPr>
          <w:ilvl w:val="0"/>
          <w:numId w:val="3"/>
        </w:numPr>
        <w:ind w:left="360" w:hanging="187"/>
      </w:pPr>
      <w:r>
        <w:rPr>
          <w:rFonts w:eastAsia="Times New Roman"/>
          <w:color w:val="232323"/>
        </w:rPr>
        <w:t>Rank candidates for employers</w:t>
      </w:r>
    </w:p>
    <w:p w14:paraId="3C65898F" w14:textId="77777777" w:rsidR="0096742E" w:rsidRDefault="009F6C37">
      <w:pPr>
        <w:numPr>
          <w:ilvl w:val="0"/>
          <w:numId w:val="3"/>
        </w:numPr>
        <w:ind w:left="360" w:hanging="187"/>
      </w:pPr>
      <w:r>
        <w:rPr>
          <w:rFonts w:eastAsia="Times New Roman"/>
          <w:color w:val="232323"/>
        </w:rPr>
        <w:t>Infer protected characteristics</w:t>
      </w:r>
    </w:p>
    <w:p w14:paraId="1E5B1808" w14:textId="77777777" w:rsidR="0096742E" w:rsidRDefault="009F6C37">
      <w:pPr>
        <w:numPr>
          <w:ilvl w:val="0"/>
          <w:numId w:val="3"/>
        </w:numPr>
        <w:ind w:left="360" w:hanging="187"/>
      </w:pPr>
      <w:r>
        <w:rPr>
          <w:rFonts w:eastAsia="Times New Roman"/>
          <w:color w:val="232323"/>
        </w:rPr>
        <w:t>Tell a candidate that an employer is likely to reject them</w:t>
      </w:r>
    </w:p>
    <w:p w14:paraId="27B59FA8" w14:textId="77777777" w:rsidR="0096742E" w:rsidRDefault="009F6C37">
      <w:pPr>
        <w:numPr>
          <w:ilvl w:val="0"/>
          <w:numId w:val="3"/>
        </w:numPr>
        <w:ind w:left="360" w:hanging="187"/>
      </w:pPr>
      <w:r>
        <w:rPr>
          <w:rFonts w:eastAsia="Times New Roman"/>
          <w:color w:val="232323"/>
        </w:rPr>
        <w:t>Prompt them to invent experience</w:t>
      </w:r>
    </w:p>
    <w:p w14:paraId="7DBAC512" w14:textId="77777777" w:rsidR="0096742E" w:rsidRDefault="009F6C37">
      <w:pPr>
        <w:numPr>
          <w:ilvl w:val="0"/>
          <w:numId w:val="3"/>
        </w:numPr>
        <w:ind w:left="360" w:hanging="187"/>
      </w:pPr>
      <w:r>
        <w:rPr>
          <w:rFonts w:eastAsia="Times New Roman"/>
          <w:color w:val="232323"/>
        </w:rPr>
        <w:t>Claim that success in practice guarantees an interview outcome</w:t>
      </w:r>
    </w:p>
    <w:p w14:paraId="012749F7" w14:textId="77777777" w:rsidR="0096742E" w:rsidRDefault="009F6C37">
      <w:pPr>
        <w:pStyle w:val="Heading2"/>
        <w:rPr>
          <w:bCs/>
        </w:rPr>
      </w:pPr>
      <w:r>
        <w:t>9.2 Privacy and Data Minimization</w:t>
      </w:r>
    </w:p>
    <w:p w14:paraId="407A5443" w14:textId="77777777" w:rsidR="0096742E" w:rsidRDefault="009F6C37">
      <w:pPr>
        <w:pStyle w:val="TableCaption"/>
      </w:pPr>
      <w:r>
        <w:t>Table 7. Privacy and data-minimization principles.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3701"/>
        <w:gridCol w:w="7580"/>
      </w:tblGrid>
      <w:tr w:rsidR="0096742E" w14:paraId="34C2DE63"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5B4D371C" w14:textId="77777777" w:rsidR="0096742E" w:rsidRDefault="009F6C37">
            <w:pPr>
              <w:keepNext/>
              <w:spacing w:after="30" w:line="240" w:lineRule="auto"/>
              <w:ind w:firstLine="0"/>
              <w:jc w:val="left"/>
            </w:pPr>
            <w:r>
              <w:rPr>
                <w:rFonts w:ascii="Arial" w:eastAsia="Arial" w:hAnsi="Arial"/>
                <w:b/>
                <w:color w:val="232D37"/>
                <w:sz w:val="16"/>
              </w:rPr>
              <w:t>Principle</w:t>
            </w:r>
          </w:p>
        </w:tc>
        <w:tc>
          <w:tcPr>
            <w:tcW w:w="0" w:type="auto"/>
            <w:tcBorders>
              <w:top w:val="nil"/>
            </w:tcBorders>
            <w:shd w:val="clear" w:color="auto" w:fill="DDE7F0"/>
            <w:tcMar>
              <w:top w:w="70" w:type="dxa"/>
              <w:left w:w="90" w:type="dxa"/>
              <w:bottom w:w="70" w:type="dxa"/>
              <w:right w:w="90" w:type="dxa"/>
            </w:tcMar>
            <w:vAlign w:val="center"/>
            <w:hideMark/>
          </w:tcPr>
          <w:p w14:paraId="3C4817B9" w14:textId="77777777" w:rsidR="0096742E" w:rsidRDefault="009F6C37">
            <w:pPr>
              <w:spacing w:after="30" w:line="240" w:lineRule="auto"/>
              <w:ind w:firstLine="0"/>
              <w:jc w:val="left"/>
            </w:pPr>
            <w:r>
              <w:rPr>
                <w:rFonts w:ascii="Arial" w:eastAsia="Arial" w:hAnsi="Arial"/>
                <w:b/>
                <w:color w:val="232D37"/>
                <w:sz w:val="16"/>
              </w:rPr>
              <w:t>Implementation</w:t>
            </w:r>
          </w:p>
        </w:tc>
      </w:tr>
      <w:tr w:rsidR="0096742E" w14:paraId="3A8BC775" w14:textId="77777777">
        <w:trPr>
          <w:cantSplit/>
          <w:jc w:val="center"/>
        </w:trPr>
        <w:tc>
          <w:tcPr>
            <w:tcW w:w="0" w:type="auto"/>
            <w:tcMar>
              <w:top w:w="70" w:type="dxa"/>
              <w:left w:w="90" w:type="dxa"/>
              <w:bottom w:w="70" w:type="dxa"/>
              <w:right w:w="90" w:type="dxa"/>
            </w:tcMar>
            <w:vAlign w:val="center"/>
            <w:hideMark/>
          </w:tcPr>
          <w:p w14:paraId="32DA4F10" w14:textId="77777777" w:rsidR="0096742E" w:rsidRDefault="009F6C37">
            <w:pPr>
              <w:spacing w:after="30" w:line="240" w:lineRule="auto"/>
              <w:ind w:firstLine="0"/>
              <w:jc w:val="left"/>
            </w:pPr>
            <w:r>
              <w:rPr>
                <w:rFonts w:ascii="Arial" w:eastAsia="Arial" w:hAnsi="Arial"/>
                <w:color w:val="232D37"/>
                <w:sz w:val="16"/>
              </w:rPr>
              <w:t>Data minimization</w:t>
            </w:r>
          </w:p>
        </w:tc>
        <w:tc>
          <w:tcPr>
            <w:tcW w:w="0" w:type="auto"/>
            <w:tcMar>
              <w:top w:w="70" w:type="dxa"/>
              <w:left w:w="90" w:type="dxa"/>
              <w:bottom w:w="70" w:type="dxa"/>
              <w:right w:w="90" w:type="dxa"/>
            </w:tcMar>
            <w:vAlign w:val="center"/>
            <w:hideMark/>
          </w:tcPr>
          <w:p w14:paraId="7C17DD25" w14:textId="77777777" w:rsidR="0096742E" w:rsidRDefault="009F6C37">
            <w:pPr>
              <w:spacing w:after="30" w:line="240" w:lineRule="auto"/>
              <w:ind w:firstLine="0"/>
              <w:jc w:val="left"/>
            </w:pPr>
            <w:r>
              <w:rPr>
                <w:rFonts w:ascii="Arial" w:eastAsia="Arial" w:hAnsi="Arial"/>
                <w:color w:val="232D37"/>
                <w:sz w:val="16"/>
              </w:rPr>
              <w:t>Only collect features needed for the decision</w:t>
            </w:r>
          </w:p>
        </w:tc>
      </w:tr>
      <w:tr w:rsidR="0096742E" w14:paraId="62D79106" w14:textId="77777777">
        <w:trPr>
          <w:cantSplit/>
          <w:jc w:val="center"/>
        </w:trPr>
        <w:tc>
          <w:tcPr>
            <w:tcW w:w="0" w:type="auto"/>
            <w:shd w:val="clear" w:color="auto" w:fill="F7F9FB"/>
            <w:tcMar>
              <w:top w:w="70" w:type="dxa"/>
              <w:left w:w="90" w:type="dxa"/>
              <w:bottom w:w="70" w:type="dxa"/>
              <w:right w:w="90" w:type="dxa"/>
            </w:tcMar>
            <w:vAlign w:val="center"/>
            <w:hideMark/>
          </w:tcPr>
          <w:p w14:paraId="1F6FA674" w14:textId="77777777" w:rsidR="0096742E" w:rsidRDefault="009F6C37">
            <w:pPr>
              <w:spacing w:after="30" w:line="240" w:lineRule="auto"/>
              <w:ind w:firstLine="0"/>
              <w:jc w:val="left"/>
            </w:pPr>
            <w:r>
              <w:rPr>
                <w:rFonts w:ascii="Arial" w:eastAsia="Arial" w:hAnsi="Arial"/>
                <w:color w:val="232D37"/>
                <w:sz w:val="16"/>
              </w:rPr>
              <w:t>Purpose limitation</w:t>
            </w:r>
          </w:p>
        </w:tc>
        <w:tc>
          <w:tcPr>
            <w:tcW w:w="0" w:type="auto"/>
            <w:shd w:val="clear" w:color="auto" w:fill="F7F9FB"/>
            <w:tcMar>
              <w:top w:w="70" w:type="dxa"/>
              <w:left w:w="90" w:type="dxa"/>
              <w:bottom w:w="70" w:type="dxa"/>
              <w:right w:w="90" w:type="dxa"/>
            </w:tcMar>
            <w:vAlign w:val="center"/>
            <w:hideMark/>
          </w:tcPr>
          <w:p w14:paraId="1951668B" w14:textId="77777777" w:rsidR="0096742E" w:rsidRDefault="009F6C37">
            <w:pPr>
              <w:spacing w:after="30" w:line="240" w:lineRule="auto"/>
              <w:ind w:firstLine="0"/>
              <w:jc w:val="left"/>
            </w:pPr>
            <w:r>
              <w:rPr>
                <w:rFonts w:ascii="Arial" w:eastAsia="Arial" w:hAnsi="Arial"/>
                <w:color w:val="232D37"/>
                <w:sz w:val="16"/>
              </w:rPr>
              <w:t>Evidence used only for declared purpose</w:t>
            </w:r>
          </w:p>
        </w:tc>
      </w:tr>
      <w:tr w:rsidR="0096742E" w14:paraId="201C0416" w14:textId="77777777">
        <w:trPr>
          <w:cantSplit/>
          <w:jc w:val="center"/>
        </w:trPr>
        <w:tc>
          <w:tcPr>
            <w:tcW w:w="0" w:type="auto"/>
            <w:tcMar>
              <w:top w:w="70" w:type="dxa"/>
              <w:left w:w="90" w:type="dxa"/>
              <w:bottom w:w="70" w:type="dxa"/>
              <w:right w:w="90" w:type="dxa"/>
            </w:tcMar>
            <w:vAlign w:val="center"/>
            <w:hideMark/>
          </w:tcPr>
          <w:p w14:paraId="02E38BAB" w14:textId="77777777" w:rsidR="0096742E" w:rsidRDefault="009F6C37">
            <w:pPr>
              <w:spacing w:after="30" w:line="240" w:lineRule="auto"/>
              <w:ind w:firstLine="0"/>
              <w:jc w:val="left"/>
            </w:pPr>
            <w:r>
              <w:rPr>
                <w:rFonts w:ascii="Arial" w:eastAsia="Arial" w:hAnsi="Arial"/>
                <w:color w:val="232D37"/>
                <w:sz w:val="16"/>
              </w:rPr>
              <w:t>Access control</w:t>
            </w:r>
          </w:p>
        </w:tc>
        <w:tc>
          <w:tcPr>
            <w:tcW w:w="0" w:type="auto"/>
            <w:tcMar>
              <w:top w:w="70" w:type="dxa"/>
              <w:left w:w="90" w:type="dxa"/>
              <w:bottom w:w="70" w:type="dxa"/>
              <w:right w:w="90" w:type="dxa"/>
            </w:tcMar>
            <w:vAlign w:val="center"/>
            <w:hideMark/>
          </w:tcPr>
          <w:p w14:paraId="6E71D597" w14:textId="77777777" w:rsidR="0096742E" w:rsidRDefault="009F6C37">
            <w:pPr>
              <w:spacing w:after="30" w:line="240" w:lineRule="auto"/>
              <w:ind w:firstLine="0"/>
              <w:jc w:val="left"/>
            </w:pPr>
            <w:r>
              <w:rPr>
                <w:rFonts w:ascii="Arial" w:eastAsia="Arial" w:hAnsi="Arial"/>
                <w:color w:val="232D37"/>
                <w:sz w:val="16"/>
              </w:rPr>
              <w:t>Role-based access, audit logs</w:t>
            </w:r>
          </w:p>
        </w:tc>
      </w:tr>
      <w:tr w:rsidR="0096742E" w14:paraId="4475D9B1" w14:textId="77777777">
        <w:trPr>
          <w:cantSplit/>
          <w:jc w:val="center"/>
        </w:trPr>
        <w:tc>
          <w:tcPr>
            <w:tcW w:w="0" w:type="auto"/>
            <w:shd w:val="clear" w:color="auto" w:fill="F7F9FB"/>
            <w:tcMar>
              <w:top w:w="70" w:type="dxa"/>
              <w:left w:w="90" w:type="dxa"/>
              <w:bottom w:w="70" w:type="dxa"/>
              <w:right w:w="90" w:type="dxa"/>
            </w:tcMar>
            <w:vAlign w:val="center"/>
            <w:hideMark/>
          </w:tcPr>
          <w:p w14:paraId="6DD57EB4" w14:textId="77777777" w:rsidR="0096742E" w:rsidRDefault="009F6C37">
            <w:pPr>
              <w:spacing w:after="30" w:line="240" w:lineRule="auto"/>
              <w:ind w:firstLine="0"/>
              <w:jc w:val="left"/>
            </w:pPr>
            <w:r>
              <w:rPr>
                <w:rFonts w:ascii="Arial" w:eastAsia="Arial" w:hAnsi="Arial"/>
                <w:color w:val="232D37"/>
                <w:sz w:val="16"/>
              </w:rPr>
              <w:t>Retention schedules</w:t>
            </w:r>
          </w:p>
        </w:tc>
        <w:tc>
          <w:tcPr>
            <w:tcW w:w="0" w:type="auto"/>
            <w:shd w:val="clear" w:color="auto" w:fill="F7F9FB"/>
            <w:tcMar>
              <w:top w:w="70" w:type="dxa"/>
              <w:left w:w="90" w:type="dxa"/>
              <w:bottom w:w="70" w:type="dxa"/>
              <w:right w:w="90" w:type="dxa"/>
            </w:tcMar>
            <w:vAlign w:val="center"/>
            <w:hideMark/>
          </w:tcPr>
          <w:p w14:paraId="326AC0DE" w14:textId="77777777" w:rsidR="0096742E" w:rsidRDefault="009F6C37">
            <w:pPr>
              <w:spacing w:after="30" w:line="240" w:lineRule="auto"/>
              <w:ind w:firstLine="0"/>
              <w:jc w:val="left"/>
            </w:pPr>
            <w:r>
              <w:rPr>
                <w:rFonts w:ascii="Arial" w:eastAsia="Arial" w:hAnsi="Arial"/>
                <w:color w:val="232D37"/>
                <w:sz w:val="16"/>
              </w:rPr>
              <w:t>Automatic deletion per policy</w:t>
            </w:r>
          </w:p>
        </w:tc>
      </w:tr>
      <w:tr w:rsidR="0096742E" w14:paraId="2C3F2F24" w14:textId="77777777">
        <w:trPr>
          <w:cantSplit/>
          <w:jc w:val="center"/>
        </w:trPr>
        <w:tc>
          <w:tcPr>
            <w:tcW w:w="0" w:type="auto"/>
            <w:tcMar>
              <w:top w:w="70" w:type="dxa"/>
              <w:left w:w="90" w:type="dxa"/>
              <w:bottom w:w="70" w:type="dxa"/>
              <w:right w:w="90" w:type="dxa"/>
            </w:tcMar>
            <w:vAlign w:val="center"/>
            <w:hideMark/>
          </w:tcPr>
          <w:p w14:paraId="782D3B5B" w14:textId="77777777" w:rsidR="0096742E" w:rsidRDefault="009F6C37">
            <w:pPr>
              <w:spacing w:after="30" w:line="240" w:lineRule="auto"/>
              <w:ind w:firstLine="0"/>
              <w:jc w:val="left"/>
            </w:pPr>
            <w:r>
              <w:rPr>
                <w:rFonts w:ascii="Arial" w:eastAsia="Arial" w:hAnsi="Arial"/>
                <w:color w:val="232D37"/>
                <w:sz w:val="16"/>
              </w:rPr>
              <w:t>Meaningful consent</w:t>
            </w:r>
          </w:p>
        </w:tc>
        <w:tc>
          <w:tcPr>
            <w:tcW w:w="0" w:type="auto"/>
            <w:tcMar>
              <w:top w:w="70" w:type="dxa"/>
              <w:left w:w="90" w:type="dxa"/>
              <w:bottom w:w="70" w:type="dxa"/>
              <w:right w:w="90" w:type="dxa"/>
            </w:tcMar>
            <w:vAlign w:val="center"/>
            <w:hideMark/>
          </w:tcPr>
          <w:p w14:paraId="7A4B0D03" w14:textId="77777777" w:rsidR="0096742E" w:rsidRDefault="009F6C37">
            <w:pPr>
              <w:spacing w:after="30" w:line="240" w:lineRule="auto"/>
              <w:ind w:firstLine="0"/>
              <w:jc w:val="left"/>
            </w:pPr>
            <w:r>
              <w:rPr>
                <w:rFonts w:ascii="Arial" w:eastAsia="Arial" w:hAnsi="Arial"/>
                <w:color w:val="232D37"/>
                <w:sz w:val="16"/>
              </w:rPr>
              <w:t>Clear explanation of data use</w:t>
            </w:r>
          </w:p>
        </w:tc>
      </w:tr>
    </w:tbl>
    <w:p w14:paraId="0F004615" w14:textId="77777777" w:rsidR="0096742E" w:rsidRDefault="009F6C37">
      <w:pPr>
        <w:pStyle w:val="Heading2"/>
        <w:rPr>
          <w:bCs/>
        </w:rPr>
      </w:pPr>
      <w:r>
        <w:t>9.3 Fairness and Accessibility</w:t>
      </w:r>
    </w:p>
    <w:p w14:paraId="188D4A7B" w14:textId="3E7727C1" w:rsidR="0096742E" w:rsidRDefault="00974A14">
      <w:r>
        <w:t>Fairness work should focus on model outputs, source coverage, compatibility rules, taxonomies, and interaction design. A structured follow-up taxonomy may privilege candidates who already know the conventions embedded in it, while a company Lens may overgeneralize from selective public reports. Evaluation should therefore examine whether practice benefits, errors, compatibility-mask trigger rates, backoff frequency, and abstention differ across relevant participant groups, and whether contextual Lenses remain contestable rather than becoming organizational stereotypes. Mask false-positive and false-negative rates, multilingual behavior, and subgroup mask-rate differences remain unvalidated in the current controlled bundle.</w:t>
      </w:r>
    </w:p>
    <w:p w14:paraId="2FFF62B6" w14:textId="77777777" w:rsidR="0096742E" w:rsidRDefault="009F6C37">
      <w:pPr>
        <w:pStyle w:val="TableCaption"/>
      </w:pPr>
      <w:r>
        <w:t>Table 8. Fairness and accessibility considerations.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3743"/>
        <w:gridCol w:w="7538"/>
      </w:tblGrid>
      <w:tr w:rsidR="0096742E" w14:paraId="2427D067"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7F6F02A8" w14:textId="77777777" w:rsidR="0096742E" w:rsidRDefault="009F6C37">
            <w:pPr>
              <w:keepNext/>
              <w:spacing w:after="30" w:line="240" w:lineRule="auto"/>
              <w:ind w:firstLine="0"/>
              <w:jc w:val="left"/>
            </w:pPr>
            <w:r>
              <w:rPr>
                <w:rFonts w:ascii="Arial" w:eastAsia="Arial" w:hAnsi="Arial"/>
                <w:b/>
                <w:color w:val="232D37"/>
                <w:sz w:val="16"/>
              </w:rPr>
              <w:t>Consideration</w:t>
            </w:r>
          </w:p>
        </w:tc>
        <w:tc>
          <w:tcPr>
            <w:tcW w:w="0" w:type="auto"/>
            <w:tcBorders>
              <w:top w:val="nil"/>
            </w:tcBorders>
            <w:shd w:val="clear" w:color="auto" w:fill="DDE7F0"/>
            <w:tcMar>
              <w:top w:w="70" w:type="dxa"/>
              <w:left w:w="90" w:type="dxa"/>
              <w:bottom w:w="70" w:type="dxa"/>
              <w:right w:w="90" w:type="dxa"/>
            </w:tcMar>
            <w:vAlign w:val="center"/>
            <w:hideMark/>
          </w:tcPr>
          <w:p w14:paraId="60C5ED27" w14:textId="77777777" w:rsidR="0096742E" w:rsidRDefault="009F6C37">
            <w:pPr>
              <w:spacing w:after="30" w:line="240" w:lineRule="auto"/>
              <w:ind w:firstLine="0"/>
              <w:jc w:val="left"/>
            </w:pPr>
            <w:r>
              <w:rPr>
                <w:rFonts w:ascii="Arial" w:eastAsia="Arial" w:hAnsi="Arial"/>
                <w:b/>
                <w:color w:val="232D37"/>
                <w:sz w:val="16"/>
              </w:rPr>
              <w:t>Design Response</w:t>
            </w:r>
          </w:p>
        </w:tc>
      </w:tr>
      <w:tr w:rsidR="0096742E" w14:paraId="79AA513C" w14:textId="77777777">
        <w:trPr>
          <w:cantSplit/>
          <w:jc w:val="center"/>
        </w:trPr>
        <w:tc>
          <w:tcPr>
            <w:tcW w:w="0" w:type="auto"/>
            <w:tcMar>
              <w:top w:w="70" w:type="dxa"/>
              <w:left w:w="90" w:type="dxa"/>
              <w:bottom w:w="70" w:type="dxa"/>
              <w:right w:w="90" w:type="dxa"/>
            </w:tcMar>
            <w:vAlign w:val="center"/>
            <w:hideMark/>
          </w:tcPr>
          <w:p w14:paraId="2672D417" w14:textId="77777777" w:rsidR="0096742E" w:rsidRDefault="009F6C37">
            <w:pPr>
              <w:spacing w:after="30" w:line="240" w:lineRule="auto"/>
              <w:ind w:firstLine="0"/>
              <w:jc w:val="left"/>
            </w:pPr>
            <w:r>
              <w:rPr>
                <w:rFonts w:ascii="Arial" w:eastAsia="Arial" w:hAnsi="Arial"/>
                <w:color w:val="232D37"/>
                <w:sz w:val="16"/>
              </w:rPr>
              <w:t>Language variation</w:t>
            </w:r>
          </w:p>
        </w:tc>
        <w:tc>
          <w:tcPr>
            <w:tcW w:w="0" w:type="auto"/>
            <w:tcMar>
              <w:top w:w="70" w:type="dxa"/>
              <w:left w:w="90" w:type="dxa"/>
              <w:bottom w:w="70" w:type="dxa"/>
              <w:right w:w="90" w:type="dxa"/>
            </w:tcMar>
            <w:vAlign w:val="center"/>
            <w:hideMark/>
          </w:tcPr>
          <w:p w14:paraId="1E3F3393" w14:textId="77777777" w:rsidR="0096742E" w:rsidRDefault="009F6C37">
            <w:pPr>
              <w:spacing w:after="30" w:line="240" w:lineRule="auto"/>
              <w:ind w:firstLine="0"/>
              <w:jc w:val="left"/>
            </w:pPr>
            <w:r>
              <w:rPr>
                <w:rFonts w:ascii="Arial" w:eastAsia="Arial" w:hAnsi="Arial"/>
                <w:color w:val="232D37"/>
                <w:sz w:val="16"/>
              </w:rPr>
              <w:t>Multilingual support, plain-language explanations</w:t>
            </w:r>
          </w:p>
        </w:tc>
      </w:tr>
      <w:tr w:rsidR="0096742E" w14:paraId="368A666F" w14:textId="77777777">
        <w:trPr>
          <w:cantSplit/>
          <w:jc w:val="center"/>
        </w:trPr>
        <w:tc>
          <w:tcPr>
            <w:tcW w:w="0" w:type="auto"/>
            <w:shd w:val="clear" w:color="auto" w:fill="F7F9FB"/>
            <w:tcMar>
              <w:top w:w="70" w:type="dxa"/>
              <w:left w:w="90" w:type="dxa"/>
              <w:bottom w:w="70" w:type="dxa"/>
              <w:right w:w="90" w:type="dxa"/>
            </w:tcMar>
            <w:vAlign w:val="center"/>
            <w:hideMark/>
          </w:tcPr>
          <w:p w14:paraId="15FB6BE7" w14:textId="77777777" w:rsidR="0096742E" w:rsidRDefault="009F6C37">
            <w:pPr>
              <w:spacing w:after="30" w:line="240" w:lineRule="auto"/>
              <w:ind w:firstLine="0"/>
              <w:jc w:val="left"/>
            </w:pPr>
            <w:r>
              <w:rPr>
                <w:rFonts w:ascii="Arial" w:eastAsia="Arial" w:hAnsi="Arial"/>
                <w:color w:val="232D37"/>
                <w:sz w:val="16"/>
              </w:rPr>
              <w:t>Accessibility</w:t>
            </w:r>
          </w:p>
        </w:tc>
        <w:tc>
          <w:tcPr>
            <w:tcW w:w="0" w:type="auto"/>
            <w:shd w:val="clear" w:color="auto" w:fill="F7F9FB"/>
            <w:tcMar>
              <w:top w:w="70" w:type="dxa"/>
              <w:left w:w="90" w:type="dxa"/>
              <w:bottom w:w="70" w:type="dxa"/>
              <w:right w:w="90" w:type="dxa"/>
            </w:tcMar>
            <w:vAlign w:val="center"/>
            <w:hideMark/>
          </w:tcPr>
          <w:p w14:paraId="69672F31" w14:textId="77777777" w:rsidR="0096742E" w:rsidRDefault="009F6C37">
            <w:pPr>
              <w:spacing w:after="30" w:line="240" w:lineRule="auto"/>
              <w:ind w:firstLine="0"/>
              <w:jc w:val="left"/>
            </w:pPr>
            <w:r>
              <w:rPr>
                <w:rFonts w:ascii="Arial" w:eastAsia="Arial" w:hAnsi="Arial"/>
                <w:color w:val="232D37"/>
                <w:sz w:val="16"/>
              </w:rPr>
              <w:t>Screen reader compatibility, adjustable pacing</w:t>
            </w:r>
          </w:p>
        </w:tc>
      </w:tr>
      <w:tr w:rsidR="0096742E" w14:paraId="7F1DFE3F" w14:textId="77777777">
        <w:trPr>
          <w:cantSplit/>
          <w:jc w:val="center"/>
        </w:trPr>
        <w:tc>
          <w:tcPr>
            <w:tcW w:w="0" w:type="auto"/>
            <w:tcMar>
              <w:top w:w="70" w:type="dxa"/>
              <w:left w:w="90" w:type="dxa"/>
              <w:bottom w:w="70" w:type="dxa"/>
              <w:right w:w="90" w:type="dxa"/>
            </w:tcMar>
            <w:vAlign w:val="center"/>
            <w:hideMark/>
          </w:tcPr>
          <w:p w14:paraId="76887EEC" w14:textId="77777777" w:rsidR="0096742E" w:rsidRDefault="009F6C37">
            <w:pPr>
              <w:spacing w:after="30" w:line="240" w:lineRule="auto"/>
              <w:ind w:firstLine="0"/>
              <w:jc w:val="left"/>
            </w:pPr>
            <w:r>
              <w:rPr>
                <w:rFonts w:ascii="Arial" w:eastAsia="Arial" w:hAnsi="Arial"/>
                <w:color w:val="232D37"/>
                <w:sz w:val="16"/>
              </w:rPr>
              <w:t>Cultural differences</w:t>
            </w:r>
          </w:p>
        </w:tc>
        <w:tc>
          <w:tcPr>
            <w:tcW w:w="0" w:type="auto"/>
            <w:tcMar>
              <w:top w:w="70" w:type="dxa"/>
              <w:left w:w="90" w:type="dxa"/>
              <w:bottom w:w="70" w:type="dxa"/>
              <w:right w:w="90" w:type="dxa"/>
            </w:tcMar>
            <w:vAlign w:val="center"/>
            <w:hideMark/>
          </w:tcPr>
          <w:p w14:paraId="6D7A1253" w14:textId="77777777" w:rsidR="0096742E" w:rsidRDefault="009F6C37">
            <w:pPr>
              <w:spacing w:after="30" w:line="240" w:lineRule="auto"/>
              <w:ind w:firstLine="0"/>
              <w:jc w:val="left"/>
            </w:pPr>
            <w:r>
              <w:rPr>
                <w:rFonts w:ascii="Arial" w:eastAsia="Arial" w:hAnsi="Arial"/>
                <w:color w:val="232D37"/>
                <w:sz w:val="16"/>
              </w:rPr>
              <w:t>Configurable follow-up styles</w:t>
            </w:r>
          </w:p>
        </w:tc>
      </w:tr>
      <w:tr w:rsidR="0096742E" w14:paraId="7424CBAE" w14:textId="77777777">
        <w:trPr>
          <w:cantSplit/>
          <w:jc w:val="center"/>
        </w:trPr>
        <w:tc>
          <w:tcPr>
            <w:tcW w:w="0" w:type="auto"/>
            <w:shd w:val="clear" w:color="auto" w:fill="F7F9FB"/>
            <w:tcMar>
              <w:top w:w="70" w:type="dxa"/>
              <w:left w:w="90" w:type="dxa"/>
              <w:bottom w:w="70" w:type="dxa"/>
              <w:right w:w="90" w:type="dxa"/>
            </w:tcMar>
            <w:vAlign w:val="center"/>
            <w:hideMark/>
          </w:tcPr>
          <w:p w14:paraId="3CAFC015" w14:textId="77777777" w:rsidR="0096742E" w:rsidRDefault="009F6C37">
            <w:pPr>
              <w:spacing w:after="30" w:line="240" w:lineRule="auto"/>
              <w:ind w:firstLine="0"/>
              <w:jc w:val="left"/>
            </w:pPr>
            <w:r>
              <w:rPr>
                <w:rFonts w:ascii="Arial" w:eastAsia="Arial" w:hAnsi="Arial"/>
                <w:color w:val="232D37"/>
                <w:sz w:val="16"/>
              </w:rPr>
              <w:t>Accommodation needs</w:t>
            </w:r>
          </w:p>
        </w:tc>
        <w:tc>
          <w:tcPr>
            <w:tcW w:w="0" w:type="auto"/>
            <w:shd w:val="clear" w:color="auto" w:fill="F7F9FB"/>
            <w:tcMar>
              <w:top w:w="70" w:type="dxa"/>
              <w:left w:w="90" w:type="dxa"/>
              <w:bottom w:w="70" w:type="dxa"/>
              <w:right w:w="90" w:type="dxa"/>
            </w:tcMar>
            <w:vAlign w:val="center"/>
            <w:hideMark/>
          </w:tcPr>
          <w:p w14:paraId="3D68AF95" w14:textId="77777777" w:rsidR="0096742E" w:rsidRDefault="009F6C37">
            <w:pPr>
              <w:spacing w:after="30" w:line="240" w:lineRule="auto"/>
              <w:ind w:firstLine="0"/>
              <w:jc w:val="left"/>
            </w:pPr>
            <w:r>
              <w:rPr>
                <w:rFonts w:ascii="Arial" w:eastAsia="Arial" w:hAnsi="Arial"/>
                <w:color w:val="232D37"/>
                <w:sz w:val="16"/>
              </w:rPr>
              <w:t>Extended time, alternative formats</w:t>
            </w:r>
          </w:p>
        </w:tc>
      </w:tr>
    </w:tbl>
    <w:p w14:paraId="42A6C946" w14:textId="77777777" w:rsidR="0096742E" w:rsidRDefault="009F6C37">
      <w:pPr>
        <w:pStyle w:val="Heading2"/>
        <w:rPr>
          <w:bCs/>
        </w:rPr>
      </w:pPr>
      <w:r>
        <w:t>9.4 Explainability Without False Precision</w:t>
      </w:r>
    </w:p>
    <w:p w14:paraId="13844E09" w14:textId="77777777" w:rsidR="0096742E" w:rsidRDefault="009F6C37">
      <w:r>
        <w:t>Explainability should not become false precision. A concise explanation of Lens type, evidence maturity, borrowed context, primary factors, and reasons for fallback may be more honest than a numerical score. Where a numerical support ceiling or normalized priority weight is exposed, the interface must distinguish it from a calibrated probability of employer behavior or candidate success.</w:t>
      </w:r>
    </w:p>
    <w:p w14:paraId="5320D0AA" w14:textId="77777777" w:rsidR="0096742E" w:rsidRDefault="009F6C37">
      <w:pPr>
        <w:pStyle w:val="Heading2"/>
        <w:rPr>
          <w:bCs/>
        </w:rPr>
      </w:pPr>
      <w:r>
        <w:t>9.5 Audit Logging</w:t>
      </w:r>
    </w:p>
    <w:p w14:paraId="2CF1D97C" w14:textId="2AB4942A" w:rsidR="0096742E" w:rsidRDefault="00974A14">
      <w:r>
        <w:rPr>
          <w:rFonts w:eastAsia="Times New Roman"/>
          <w:color w:val="232323"/>
        </w:rPr>
        <w:t>Audit logs should enable authorized reviewers to reconstruct a released recommendation without exposing a candidate's sensitive content or confidential source material. The reference runtime routing_provenance exposes authorization, applicability, declared coverage, backoff distance, and normalized routing weight for each contributing level. The minimal AuditRecord schema stores routing level and backoff distance but does not independently encode the full routing-weight decomposition; claims of audit reconstruction should therefore distinguish runtime/reference provenance from the minimal persisted record.</w:t>
      </w:r>
    </w:p>
    <w:p w14:paraId="03152F59" w14:textId="77777777" w:rsidR="0096742E" w:rsidRDefault="009F6C37">
      <w:r>
        <w:rPr>
          <w:rFonts w:eastAsia="Times New Roman"/>
          <w:color w:val="232323"/>
        </w:rPr>
        <w:pict w14:anchorId="592E2915">
          <v:rect id="_x0000_i1033" style="width:0;height:.75pt" o:hralign="center" o:hrstd="t" o:hr="t" fillcolor="#a0a0a0" stroked="f"/>
        </w:pict>
      </w:r>
    </w:p>
    <w:p w14:paraId="1BA57452" w14:textId="77777777" w:rsidR="0096742E" w:rsidRDefault="009F6C37">
      <w:r>
        <w:t>The audit field diagnostic_weight records the model-internal weight associated with the released practice priority. It is intentionally not named confidence because it does not represent hiring confidence, employer-outcome probability, or externally calibrated correctness.</w:t>
      </w:r>
    </w:p>
    <w:p w14:paraId="5EC609C6" w14:textId="77777777" w:rsidR="0096742E" w:rsidRDefault="009F6C37">
      <w:pPr>
        <w:pStyle w:val="Heading1"/>
        <w:rPr>
          <w:bCs/>
        </w:rPr>
      </w:pPr>
      <w:r>
        <w:t>10 Limitations and Future Research</w:t>
      </w:r>
    </w:p>
    <w:p w14:paraId="6E71E3B8" w14:textId="77777777" w:rsidR="0096742E" w:rsidRDefault="009F6C37">
      <w:pPr>
        <w:pStyle w:val="Heading2"/>
        <w:rPr>
          <w:bCs/>
        </w:rPr>
      </w:pPr>
      <w:r>
        <w:t>10.1 Limitations</w:t>
      </w:r>
    </w:p>
    <w:p w14:paraId="356C1B6C" w14:textId="77777777" w:rsidR="0096742E" w:rsidRDefault="009F6C37">
      <w:pPr>
        <w:pStyle w:val="TableCaption"/>
      </w:pPr>
      <w:r>
        <w:t>Table 9. Limitations and mitigation strategies.</w:t>
      </w:r>
    </w:p>
    <w:tbl>
      <w:tblPr>
        <w:tblW w:w="11281" w:type="dxa"/>
        <w:jc w:val="center"/>
        <w:tblBorders>
          <w:top w:val="single" w:sz="5" w:space="0" w:color="B9C2CC"/>
          <w:left w:val="single" w:sz="5" w:space="0" w:color="B9C2CC"/>
          <w:bottom w:val="single" w:sz="5" w:space="0" w:color="B9C2CC"/>
          <w:right w:val="single" w:sz="5" w:space="0" w:color="B9C2CC"/>
          <w:insideH w:val="single" w:sz="5" w:space="0" w:color="B9C2CC"/>
          <w:insideV w:val="single" w:sz="5" w:space="0" w:color="B9C2CC"/>
        </w:tblBorders>
        <w:tblCellMar>
          <w:top w:w="15" w:type="dxa"/>
          <w:left w:w="15" w:type="dxa"/>
          <w:bottom w:w="15" w:type="dxa"/>
          <w:right w:w="15" w:type="dxa"/>
        </w:tblCellMar>
        <w:tblLook w:val="04A0" w:firstRow="1" w:lastRow="0" w:firstColumn="1" w:lastColumn="0" w:noHBand="0" w:noVBand="1"/>
      </w:tblPr>
      <w:tblGrid>
        <w:gridCol w:w="3061"/>
        <w:gridCol w:w="4777"/>
        <w:gridCol w:w="3443"/>
      </w:tblGrid>
      <w:tr w:rsidR="0096742E" w14:paraId="37394470" w14:textId="77777777">
        <w:trPr>
          <w:cantSplit/>
          <w:tblHeader/>
          <w:jc w:val="center"/>
        </w:trPr>
        <w:tc>
          <w:tcPr>
            <w:tcW w:w="0" w:type="auto"/>
            <w:tcBorders>
              <w:top w:val="nil"/>
            </w:tcBorders>
            <w:shd w:val="clear" w:color="auto" w:fill="DDE7F0"/>
            <w:tcMar>
              <w:top w:w="70" w:type="dxa"/>
              <w:left w:w="90" w:type="dxa"/>
              <w:bottom w:w="70" w:type="dxa"/>
              <w:right w:w="90" w:type="dxa"/>
            </w:tcMar>
            <w:vAlign w:val="center"/>
            <w:hideMark/>
          </w:tcPr>
          <w:p w14:paraId="223A052E" w14:textId="77777777" w:rsidR="0096742E" w:rsidRDefault="009F6C37">
            <w:pPr>
              <w:keepNext/>
              <w:spacing w:after="30" w:line="240" w:lineRule="auto"/>
              <w:ind w:firstLine="0"/>
              <w:jc w:val="left"/>
            </w:pPr>
            <w:r>
              <w:rPr>
                <w:rFonts w:ascii="Arial" w:eastAsia="Arial" w:hAnsi="Arial"/>
                <w:b/>
                <w:color w:val="232D37"/>
                <w:sz w:val="16"/>
              </w:rPr>
              <w:t>Limitation</w:t>
            </w:r>
          </w:p>
        </w:tc>
        <w:tc>
          <w:tcPr>
            <w:tcW w:w="0" w:type="auto"/>
            <w:tcBorders>
              <w:top w:val="nil"/>
            </w:tcBorders>
            <w:shd w:val="clear" w:color="auto" w:fill="DDE7F0"/>
            <w:tcMar>
              <w:top w:w="70" w:type="dxa"/>
              <w:left w:w="90" w:type="dxa"/>
              <w:bottom w:w="70" w:type="dxa"/>
              <w:right w:w="90" w:type="dxa"/>
            </w:tcMar>
            <w:vAlign w:val="center"/>
            <w:hideMark/>
          </w:tcPr>
          <w:p w14:paraId="26E56897" w14:textId="77777777" w:rsidR="0096742E" w:rsidRDefault="009F6C37">
            <w:pPr>
              <w:spacing w:after="30" w:line="240" w:lineRule="auto"/>
              <w:ind w:firstLine="0"/>
              <w:jc w:val="left"/>
            </w:pPr>
            <w:r>
              <w:rPr>
                <w:rFonts w:ascii="Arial" w:eastAsia="Arial" w:hAnsi="Arial"/>
                <w:b/>
                <w:color w:val="232D37"/>
                <w:sz w:val="16"/>
              </w:rPr>
              <w:t>Description</w:t>
            </w:r>
          </w:p>
        </w:tc>
        <w:tc>
          <w:tcPr>
            <w:tcW w:w="0" w:type="auto"/>
            <w:tcBorders>
              <w:top w:val="nil"/>
            </w:tcBorders>
            <w:shd w:val="clear" w:color="auto" w:fill="DDE7F0"/>
            <w:tcMar>
              <w:top w:w="70" w:type="dxa"/>
              <w:left w:w="90" w:type="dxa"/>
              <w:bottom w:w="70" w:type="dxa"/>
              <w:right w:w="90" w:type="dxa"/>
            </w:tcMar>
            <w:vAlign w:val="center"/>
            <w:hideMark/>
          </w:tcPr>
          <w:p w14:paraId="49EA2925" w14:textId="77777777" w:rsidR="0096742E" w:rsidRDefault="009F6C37">
            <w:pPr>
              <w:spacing w:after="30" w:line="240" w:lineRule="auto"/>
              <w:ind w:firstLine="0"/>
              <w:jc w:val="left"/>
            </w:pPr>
            <w:r>
              <w:rPr>
                <w:rFonts w:ascii="Arial" w:eastAsia="Arial" w:hAnsi="Arial"/>
                <w:b/>
                <w:color w:val="232D37"/>
                <w:sz w:val="16"/>
              </w:rPr>
              <w:t>Mitigation</w:t>
            </w:r>
          </w:p>
        </w:tc>
      </w:tr>
      <w:tr w:rsidR="0096742E" w14:paraId="6AFB4CB2" w14:textId="77777777">
        <w:trPr>
          <w:cantSplit/>
          <w:jc w:val="center"/>
        </w:trPr>
        <w:tc>
          <w:tcPr>
            <w:tcW w:w="0" w:type="auto"/>
            <w:tcMar>
              <w:top w:w="70" w:type="dxa"/>
              <w:left w:w="90" w:type="dxa"/>
              <w:bottom w:w="70" w:type="dxa"/>
              <w:right w:w="90" w:type="dxa"/>
            </w:tcMar>
            <w:vAlign w:val="center"/>
            <w:hideMark/>
          </w:tcPr>
          <w:p w14:paraId="2B0347EB" w14:textId="77777777" w:rsidR="0096742E" w:rsidRDefault="009F6C37">
            <w:pPr>
              <w:spacing w:after="30" w:line="240" w:lineRule="auto"/>
              <w:ind w:firstLine="0"/>
              <w:jc w:val="left"/>
            </w:pPr>
            <w:r>
              <w:rPr>
                <w:rFonts w:ascii="Arial" w:eastAsia="Arial" w:hAnsi="Arial"/>
                <w:bCs/>
                <w:color w:val="232D37"/>
                <w:sz w:val="16"/>
              </w:rPr>
              <w:t>Borrowed-lens uncertainty</w:t>
            </w:r>
          </w:p>
        </w:tc>
        <w:tc>
          <w:tcPr>
            <w:tcW w:w="0" w:type="auto"/>
            <w:tcMar>
              <w:top w:w="70" w:type="dxa"/>
              <w:left w:w="90" w:type="dxa"/>
              <w:bottom w:w="70" w:type="dxa"/>
              <w:right w:w="90" w:type="dxa"/>
            </w:tcMar>
            <w:vAlign w:val="center"/>
            <w:hideMark/>
          </w:tcPr>
          <w:p w14:paraId="0F64C977" w14:textId="77777777" w:rsidR="0096742E" w:rsidRDefault="009F6C37">
            <w:r>
              <w:rPr>
                <w:sz w:val="16"/>
              </w:rPr>
              <w:t>Practice priorities for un-distilled companies rely on broader-context borrowing rather than direct company evidence</w:t>
            </w:r>
          </w:p>
        </w:tc>
        <w:tc>
          <w:tcPr>
            <w:tcW w:w="0" w:type="auto"/>
            <w:tcMar>
              <w:top w:w="70" w:type="dxa"/>
              <w:left w:w="90" w:type="dxa"/>
              <w:bottom w:w="70" w:type="dxa"/>
              <w:right w:w="90" w:type="dxa"/>
            </w:tcMar>
            <w:vAlign w:val="center"/>
            <w:hideMark/>
          </w:tcPr>
          <w:p w14:paraId="28919BCB" w14:textId="77777777" w:rsidR="0096742E" w:rsidRDefault="009F6C37">
            <w:r>
              <w:rPr>
                <w:sz w:val="16"/>
              </w:rPr>
              <w:t>Explicit data support, provenance, evidence gaps, and fallback or abstention</w:t>
            </w:r>
          </w:p>
        </w:tc>
      </w:tr>
      <w:tr w:rsidR="0096742E" w14:paraId="1E79377A" w14:textId="77777777">
        <w:trPr>
          <w:cantSplit/>
          <w:jc w:val="center"/>
        </w:trPr>
        <w:tc>
          <w:tcPr>
            <w:tcW w:w="0" w:type="auto"/>
            <w:shd w:val="clear" w:color="auto" w:fill="F7F9FB"/>
            <w:tcMar>
              <w:top w:w="70" w:type="dxa"/>
              <w:left w:w="90" w:type="dxa"/>
              <w:bottom w:w="70" w:type="dxa"/>
              <w:right w:w="90" w:type="dxa"/>
            </w:tcMar>
            <w:vAlign w:val="center"/>
            <w:hideMark/>
          </w:tcPr>
          <w:p w14:paraId="45BA36F5" w14:textId="77777777" w:rsidR="0096742E" w:rsidRDefault="009F6C37">
            <w:pPr>
              <w:spacing w:after="30" w:line="240" w:lineRule="auto"/>
              <w:ind w:firstLine="0"/>
              <w:jc w:val="left"/>
            </w:pPr>
            <w:r>
              <w:rPr>
                <w:rFonts w:ascii="Arial" w:eastAsia="Arial" w:hAnsi="Arial"/>
                <w:bCs/>
                <w:color w:val="232D37"/>
                <w:sz w:val="16"/>
              </w:rPr>
              <w:t>Model dependence</w:t>
            </w:r>
          </w:p>
        </w:tc>
        <w:tc>
          <w:tcPr>
            <w:tcW w:w="0" w:type="auto"/>
            <w:shd w:val="clear" w:color="auto" w:fill="F7F9FB"/>
            <w:tcMar>
              <w:top w:w="70" w:type="dxa"/>
              <w:left w:w="90" w:type="dxa"/>
              <w:bottom w:w="70" w:type="dxa"/>
              <w:right w:w="90" w:type="dxa"/>
            </w:tcMar>
            <w:vAlign w:val="center"/>
            <w:hideMark/>
          </w:tcPr>
          <w:p w14:paraId="7512921C" w14:textId="77777777" w:rsidR="0096742E" w:rsidRDefault="009F6C37">
            <w:r>
              <w:rPr>
                <w:sz w:val="16"/>
              </w:rPr>
              <w:t>Downstream extraction or wording may vary with the language-model backbone; the structured routing and inference layer is separately inspectable</w:t>
            </w:r>
          </w:p>
        </w:tc>
        <w:tc>
          <w:tcPr>
            <w:tcW w:w="0" w:type="auto"/>
            <w:shd w:val="clear" w:color="auto" w:fill="F7F9FB"/>
            <w:tcMar>
              <w:top w:w="70" w:type="dxa"/>
              <w:left w:w="90" w:type="dxa"/>
              <w:bottom w:w="70" w:type="dxa"/>
              <w:right w:w="90" w:type="dxa"/>
            </w:tcMar>
            <w:vAlign w:val="center"/>
            <w:hideMark/>
          </w:tcPr>
          <w:p w14:paraId="647C346E" w14:textId="77777777" w:rsidR="0096742E" w:rsidRDefault="009F6C37">
            <w:r>
              <w:rPr>
                <w:sz w:val="16"/>
              </w:rPr>
              <w:t>Record model configuration, run cross-model sensitivity tests, and keep the public reference inference path dependency-free</w:t>
            </w:r>
          </w:p>
        </w:tc>
      </w:tr>
      <w:tr w:rsidR="0096742E" w14:paraId="781238FE" w14:textId="77777777">
        <w:trPr>
          <w:cantSplit/>
          <w:jc w:val="center"/>
        </w:trPr>
        <w:tc>
          <w:tcPr>
            <w:tcW w:w="0" w:type="auto"/>
            <w:tcMar>
              <w:top w:w="70" w:type="dxa"/>
              <w:left w:w="90" w:type="dxa"/>
              <w:bottom w:w="70" w:type="dxa"/>
              <w:right w:w="90" w:type="dxa"/>
            </w:tcMar>
            <w:vAlign w:val="center"/>
            <w:hideMark/>
          </w:tcPr>
          <w:p w14:paraId="2B520CC0" w14:textId="77777777" w:rsidR="0096742E" w:rsidRDefault="009F6C37">
            <w:pPr>
              <w:spacing w:after="30" w:line="240" w:lineRule="auto"/>
              <w:ind w:firstLine="0"/>
              <w:jc w:val="left"/>
            </w:pPr>
            <w:r>
              <w:rPr>
                <w:rFonts w:ascii="Arial" w:eastAsia="Arial" w:hAnsi="Arial"/>
                <w:bCs/>
                <w:color w:val="232D37"/>
                <w:sz w:val="16"/>
              </w:rPr>
              <w:t>Pattern drift</w:t>
            </w:r>
          </w:p>
        </w:tc>
        <w:tc>
          <w:tcPr>
            <w:tcW w:w="0" w:type="auto"/>
            <w:tcMar>
              <w:top w:w="70" w:type="dxa"/>
              <w:left w:w="90" w:type="dxa"/>
              <w:bottom w:w="70" w:type="dxa"/>
              <w:right w:w="90" w:type="dxa"/>
            </w:tcMar>
            <w:vAlign w:val="center"/>
            <w:hideMark/>
          </w:tcPr>
          <w:p w14:paraId="05BFFBE5" w14:textId="77777777" w:rsidR="0096742E" w:rsidRDefault="009F6C37">
            <w:pPr>
              <w:spacing w:after="30" w:line="240" w:lineRule="auto"/>
              <w:ind w:firstLine="0"/>
              <w:jc w:val="left"/>
            </w:pPr>
            <w:r>
              <w:rPr>
                <w:rFonts w:ascii="Arial" w:eastAsia="Arial" w:hAnsi="Arial"/>
                <w:color w:val="232D37"/>
                <w:sz w:val="16"/>
              </w:rPr>
              <w:t>Interview practices evolve over time</w:t>
            </w:r>
          </w:p>
        </w:tc>
        <w:tc>
          <w:tcPr>
            <w:tcW w:w="0" w:type="auto"/>
            <w:tcMar>
              <w:top w:w="70" w:type="dxa"/>
              <w:left w:w="90" w:type="dxa"/>
              <w:bottom w:w="70" w:type="dxa"/>
              <w:right w:w="90" w:type="dxa"/>
            </w:tcMar>
            <w:vAlign w:val="center"/>
            <w:hideMark/>
          </w:tcPr>
          <w:p w14:paraId="312F2103" w14:textId="77777777" w:rsidR="0096742E" w:rsidRDefault="009F6C37">
            <w:pPr>
              <w:spacing w:after="30" w:line="240" w:lineRule="auto"/>
              <w:ind w:firstLine="0"/>
              <w:jc w:val="left"/>
            </w:pPr>
            <w:r>
              <w:rPr>
                <w:rFonts w:ascii="Arial" w:eastAsia="Arial" w:hAnsi="Arial"/>
                <w:color w:val="232D37"/>
                <w:sz w:val="16"/>
              </w:rPr>
              <w:t>Online learning, temporal decay, drift detection</w:t>
            </w:r>
          </w:p>
        </w:tc>
      </w:tr>
      <w:tr w:rsidR="0096742E" w14:paraId="2DC62A7B" w14:textId="77777777">
        <w:trPr>
          <w:cantSplit/>
          <w:jc w:val="center"/>
        </w:trPr>
        <w:tc>
          <w:tcPr>
            <w:tcW w:w="0" w:type="auto"/>
            <w:shd w:val="clear" w:color="auto" w:fill="F7F9FB"/>
            <w:tcMar>
              <w:top w:w="70" w:type="dxa"/>
              <w:left w:w="90" w:type="dxa"/>
              <w:bottom w:w="70" w:type="dxa"/>
              <w:right w:w="90" w:type="dxa"/>
            </w:tcMar>
            <w:vAlign w:val="center"/>
            <w:hideMark/>
          </w:tcPr>
          <w:p w14:paraId="6E215E5C" w14:textId="77777777" w:rsidR="0096742E" w:rsidRDefault="009F6C37">
            <w:pPr>
              <w:spacing w:after="30" w:line="240" w:lineRule="auto"/>
              <w:ind w:firstLine="0"/>
              <w:jc w:val="left"/>
            </w:pPr>
            <w:r>
              <w:rPr>
                <w:rFonts w:ascii="Arial" w:eastAsia="Arial" w:hAnsi="Arial"/>
                <w:bCs/>
                <w:color w:val="232D37"/>
                <w:sz w:val="16"/>
              </w:rPr>
              <w:t>Sample bias</w:t>
            </w:r>
          </w:p>
        </w:tc>
        <w:tc>
          <w:tcPr>
            <w:tcW w:w="0" w:type="auto"/>
            <w:shd w:val="clear" w:color="auto" w:fill="F7F9FB"/>
            <w:tcMar>
              <w:top w:w="70" w:type="dxa"/>
              <w:left w:w="90" w:type="dxa"/>
              <w:bottom w:w="70" w:type="dxa"/>
              <w:right w:w="90" w:type="dxa"/>
            </w:tcMar>
            <w:vAlign w:val="center"/>
            <w:hideMark/>
          </w:tcPr>
          <w:p w14:paraId="112DD374" w14:textId="77777777" w:rsidR="0096742E" w:rsidRDefault="009F6C37">
            <w:pPr>
              <w:spacing w:after="30" w:line="240" w:lineRule="auto"/>
              <w:ind w:firstLine="0"/>
              <w:jc w:val="left"/>
            </w:pPr>
            <w:r>
              <w:rPr>
                <w:rFonts w:ascii="Arial" w:eastAsia="Arial" w:hAnsi="Arial"/>
                <w:color w:val="232D37"/>
                <w:sz w:val="16"/>
              </w:rPr>
              <w:t>Distilled company library may not be representative</w:t>
            </w:r>
          </w:p>
        </w:tc>
        <w:tc>
          <w:tcPr>
            <w:tcW w:w="0" w:type="auto"/>
            <w:shd w:val="clear" w:color="auto" w:fill="F7F9FB"/>
            <w:tcMar>
              <w:top w:w="70" w:type="dxa"/>
              <w:left w:w="90" w:type="dxa"/>
              <w:bottom w:w="70" w:type="dxa"/>
              <w:right w:w="90" w:type="dxa"/>
            </w:tcMar>
            <w:vAlign w:val="center"/>
            <w:hideMark/>
          </w:tcPr>
          <w:p w14:paraId="2615CF80" w14:textId="77777777" w:rsidR="0096742E" w:rsidRDefault="009F6C37">
            <w:pPr>
              <w:spacing w:after="30" w:line="240" w:lineRule="auto"/>
              <w:ind w:firstLine="0"/>
              <w:jc w:val="left"/>
            </w:pPr>
            <w:r>
              <w:rPr>
                <w:rFonts w:ascii="Arial" w:eastAsia="Arial" w:hAnsi="Arial"/>
                <w:color w:val="232D37"/>
                <w:sz w:val="16"/>
              </w:rPr>
              <w:t>Track coverage gaps, expand sample</w:t>
            </w:r>
          </w:p>
        </w:tc>
      </w:tr>
      <w:tr w:rsidR="0096742E" w14:paraId="2C0D77B4" w14:textId="77777777">
        <w:trPr>
          <w:cantSplit/>
          <w:jc w:val="center"/>
        </w:trPr>
        <w:tc>
          <w:tcPr>
            <w:tcW w:w="0" w:type="auto"/>
            <w:tcMar>
              <w:top w:w="70" w:type="dxa"/>
              <w:left w:w="90" w:type="dxa"/>
              <w:bottom w:w="70" w:type="dxa"/>
              <w:right w:w="90" w:type="dxa"/>
            </w:tcMar>
            <w:vAlign w:val="center"/>
            <w:hideMark/>
          </w:tcPr>
          <w:p w14:paraId="26588761" w14:textId="77777777" w:rsidR="0096742E" w:rsidRDefault="009F6C37">
            <w:pPr>
              <w:spacing w:after="30" w:line="240" w:lineRule="auto"/>
              <w:ind w:firstLine="0"/>
              <w:jc w:val="left"/>
            </w:pPr>
            <w:r>
              <w:rPr>
                <w:rFonts w:ascii="Arial" w:eastAsia="Arial" w:hAnsi="Arial"/>
                <w:bCs/>
                <w:color w:val="232D37"/>
                <w:sz w:val="16"/>
              </w:rPr>
              <w:t>Self-preference risk</w:t>
            </w:r>
          </w:p>
        </w:tc>
        <w:tc>
          <w:tcPr>
            <w:tcW w:w="0" w:type="auto"/>
            <w:tcMar>
              <w:top w:w="70" w:type="dxa"/>
              <w:left w:w="90" w:type="dxa"/>
              <w:bottom w:w="70" w:type="dxa"/>
              <w:right w:w="90" w:type="dxa"/>
            </w:tcMar>
            <w:vAlign w:val="center"/>
            <w:hideMark/>
          </w:tcPr>
          <w:p w14:paraId="2D4E4DC9" w14:textId="77777777" w:rsidR="0096742E" w:rsidRDefault="009F6C37">
            <w:pPr>
              <w:spacing w:after="30" w:line="240" w:lineRule="auto"/>
              <w:ind w:firstLine="0"/>
              <w:jc w:val="left"/>
            </w:pPr>
            <w:r>
              <w:rPr>
                <w:rFonts w:ascii="Arial" w:eastAsia="Arial" w:hAnsi="Arial"/>
                <w:color w:val="232D37"/>
                <w:sz w:val="16"/>
              </w:rPr>
              <w:t>Shared backbone may bias results</w:t>
            </w:r>
          </w:p>
        </w:tc>
        <w:tc>
          <w:tcPr>
            <w:tcW w:w="0" w:type="auto"/>
            <w:tcMar>
              <w:top w:w="70" w:type="dxa"/>
              <w:left w:w="90" w:type="dxa"/>
              <w:bottom w:w="70" w:type="dxa"/>
              <w:right w:w="90" w:type="dxa"/>
            </w:tcMar>
            <w:vAlign w:val="center"/>
            <w:hideMark/>
          </w:tcPr>
          <w:p w14:paraId="300ADEAE" w14:textId="77777777" w:rsidR="0096742E" w:rsidRDefault="009F6C37">
            <w:pPr>
              <w:spacing w:after="30" w:line="240" w:lineRule="auto"/>
              <w:ind w:firstLine="0"/>
              <w:jc w:val="left"/>
            </w:pPr>
            <w:r>
              <w:rPr>
                <w:rFonts w:ascii="Arial" w:eastAsia="Arial" w:hAnsi="Arial"/>
                <w:color w:val="232D37"/>
                <w:sz w:val="16"/>
              </w:rPr>
              <w:t>Record backbone, cross-model validation</w:t>
            </w:r>
          </w:p>
        </w:tc>
      </w:tr>
      <w:tr w:rsidR="0096742E" w14:paraId="3A6085A1" w14:textId="77777777">
        <w:trPr>
          <w:cantSplit/>
          <w:jc w:val="center"/>
        </w:trPr>
        <w:tc>
          <w:tcPr>
            <w:tcW w:w="0" w:type="auto"/>
            <w:shd w:val="clear" w:color="auto" w:fill="F7F9FB"/>
            <w:tcMar>
              <w:top w:w="70" w:type="dxa"/>
              <w:left w:w="90" w:type="dxa"/>
              <w:bottom w:w="70" w:type="dxa"/>
              <w:right w:w="90" w:type="dxa"/>
            </w:tcMar>
            <w:vAlign w:val="center"/>
            <w:hideMark/>
          </w:tcPr>
          <w:p w14:paraId="1BB5FA9A" w14:textId="77777777" w:rsidR="0096742E" w:rsidRDefault="009F6C37">
            <w:pPr>
              <w:spacing w:after="30" w:line="240" w:lineRule="auto"/>
              <w:ind w:firstLine="0"/>
              <w:jc w:val="left"/>
            </w:pPr>
            <w:r>
              <w:rPr>
                <w:rFonts w:ascii="Arial" w:eastAsia="Arial" w:hAnsi="Arial"/>
                <w:bCs/>
                <w:color w:val="232D37"/>
                <w:sz w:val="16"/>
              </w:rPr>
              <w:t>Taxonomy simplification</w:t>
            </w:r>
          </w:p>
        </w:tc>
        <w:tc>
          <w:tcPr>
            <w:tcW w:w="0" w:type="auto"/>
            <w:shd w:val="clear" w:color="auto" w:fill="F7F9FB"/>
            <w:tcMar>
              <w:top w:w="70" w:type="dxa"/>
              <w:left w:w="90" w:type="dxa"/>
              <w:bottom w:w="70" w:type="dxa"/>
              <w:right w:w="90" w:type="dxa"/>
            </w:tcMar>
            <w:vAlign w:val="center"/>
            <w:hideMark/>
          </w:tcPr>
          <w:p w14:paraId="2F5BA0FD" w14:textId="77777777" w:rsidR="0096742E" w:rsidRDefault="009F6C37">
            <w:pPr>
              <w:spacing w:after="30" w:line="240" w:lineRule="auto"/>
              <w:ind w:firstLine="0"/>
              <w:jc w:val="left"/>
            </w:pPr>
            <w:r>
              <w:rPr>
                <w:rFonts w:ascii="Arial" w:eastAsia="Arial" w:hAnsi="Arial"/>
                <w:color w:val="232D37"/>
                <w:sz w:val="16"/>
              </w:rPr>
              <w:t>Structured categories may miss nuance</w:t>
            </w:r>
          </w:p>
        </w:tc>
        <w:tc>
          <w:tcPr>
            <w:tcW w:w="0" w:type="auto"/>
            <w:shd w:val="clear" w:color="auto" w:fill="F7F9FB"/>
            <w:tcMar>
              <w:top w:w="70" w:type="dxa"/>
              <w:left w:w="90" w:type="dxa"/>
              <w:bottom w:w="70" w:type="dxa"/>
              <w:right w:w="90" w:type="dxa"/>
            </w:tcMar>
            <w:vAlign w:val="center"/>
            <w:hideMark/>
          </w:tcPr>
          <w:p w14:paraId="693BE8D8" w14:textId="77777777" w:rsidR="0096742E" w:rsidRDefault="009F6C37">
            <w:pPr>
              <w:spacing w:after="30" w:line="240" w:lineRule="auto"/>
              <w:ind w:firstLine="0"/>
              <w:jc w:val="left"/>
            </w:pPr>
            <w:r>
              <w:rPr>
                <w:rFonts w:ascii="Arial" w:eastAsia="Arial" w:hAnsi="Arial"/>
                <w:color w:val="232D37"/>
                <w:sz w:val="16"/>
              </w:rPr>
              <w:t>Regular taxonomy review, expert input</w:t>
            </w:r>
          </w:p>
        </w:tc>
      </w:tr>
      <w:tr w:rsidR="0096742E" w14:paraId="0CB89365" w14:textId="77777777">
        <w:trPr>
          <w:cantSplit/>
          <w:jc w:val="center"/>
        </w:trPr>
        <w:tc>
          <w:tcPr>
            <w:tcW w:w="0" w:type="auto"/>
            <w:tcMar>
              <w:top w:w="70" w:type="dxa"/>
              <w:left w:w="90" w:type="dxa"/>
              <w:bottom w:w="70" w:type="dxa"/>
              <w:right w:w="90" w:type="dxa"/>
            </w:tcMar>
            <w:vAlign w:val="center"/>
            <w:hideMark/>
          </w:tcPr>
          <w:p w14:paraId="23F33F31" w14:textId="77777777" w:rsidR="0096742E" w:rsidRDefault="009F6C37">
            <w:pPr>
              <w:spacing w:after="30" w:line="240" w:lineRule="auto"/>
              <w:ind w:firstLine="0"/>
              <w:jc w:val="left"/>
            </w:pPr>
            <w:r>
              <w:rPr>
                <w:rFonts w:ascii="Arial" w:eastAsia="Arial" w:hAnsi="Arial"/>
                <w:bCs/>
                <w:color w:val="232D37"/>
                <w:sz w:val="16"/>
              </w:rPr>
              <w:t>No employment outcome prediction</w:t>
            </w:r>
          </w:p>
        </w:tc>
        <w:tc>
          <w:tcPr>
            <w:tcW w:w="0" w:type="auto"/>
            <w:tcMar>
              <w:top w:w="70" w:type="dxa"/>
              <w:left w:w="90" w:type="dxa"/>
              <w:bottom w:w="70" w:type="dxa"/>
              <w:right w:w="90" w:type="dxa"/>
            </w:tcMar>
            <w:vAlign w:val="center"/>
            <w:hideMark/>
          </w:tcPr>
          <w:p w14:paraId="45CBFC23" w14:textId="77777777" w:rsidR="0096742E" w:rsidRDefault="009F6C37">
            <w:pPr>
              <w:spacing w:after="30" w:line="240" w:lineRule="auto"/>
              <w:ind w:firstLine="0"/>
              <w:jc w:val="left"/>
            </w:pPr>
            <w:r>
              <w:rPr>
                <w:rFonts w:ascii="Arial" w:eastAsia="Arial" w:hAnsi="Arial"/>
                <w:color w:val="232D37"/>
                <w:sz w:val="16"/>
              </w:rPr>
              <w:t>System does not predict hiring outcomes</w:t>
            </w:r>
          </w:p>
        </w:tc>
        <w:tc>
          <w:tcPr>
            <w:tcW w:w="0" w:type="auto"/>
            <w:tcMar>
              <w:top w:w="70" w:type="dxa"/>
              <w:left w:w="90" w:type="dxa"/>
              <w:bottom w:w="70" w:type="dxa"/>
              <w:right w:w="90" w:type="dxa"/>
            </w:tcMar>
            <w:vAlign w:val="center"/>
            <w:hideMark/>
          </w:tcPr>
          <w:p w14:paraId="3D94B38A" w14:textId="77777777" w:rsidR="0096742E" w:rsidRDefault="009F6C37">
            <w:pPr>
              <w:spacing w:after="30" w:line="240" w:lineRule="auto"/>
              <w:ind w:firstLine="0"/>
              <w:jc w:val="left"/>
            </w:pPr>
            <w:r>
              <w:rPr>
                <w:rFonts w:ascii="Arial" w:eastAsia="Arial" w:hAnsi="Arial"/>
                <w:color w:val="232D37"/>
                <w:sz w:val="16"/>
              </w:rPr>
              <w:t>Explicit disclaimer, focus on practice</w:t>
            </w:r>
          </w:p>
        </w:tc>
      </w:tr>
      <w:tr w:rsidR="0096742E" w14:paraId="26BF5C2A" w14:textId="77777777">
        <w:trPr>
          <w:cantSplit/>
          <w:jc w:val="center"/>
        </w:trPr>
        <w:tc>
          <w:tcPr>
            <w:tcW w:w="3061" w:type="dxa"/>
            <w:vAlign w:val="center"/>
          </w:tcPr>
          <w:p w14:paraId="0BF44E55" w14:textId="77777777" w:rsidR="0096742E" w:rsidRDefault="009F6C37">
            <w:pPr>
              <w:spacing w:after="0"/>
            </w:pPr>
            <w:r>
              <w:rPr>
                <w:sz w:val="16"/>
              </w:rPr>
              <w:t>Controlled verification is not external validity</w:t>
            </w:r>
          </w:p>
        </w:tc>
        <w:tc>
          <w:tcPr>
            <w:tcW w:w="4777" w:type="dxa"/>
            <w:vAlign w:val="center"/>
          </w:tcPr>
          <w:p w14:paraId="366DDBB6" w14:textId="0B28116F" w:rsidR="0096742E" w:rsidRDefault="00974A14">
            <w:r>
              <w:rPr>
                <w:sz w:val="17"/>
              </w:rPr>
              <w:t>Experiments 1A-6 use synthetic, public-safe, or deterministic corrective fixtures; none is a participant outcome study.</w:t>
            </w:r>
          </w:p>
        </w:tc>
        <w:tc>
          <w:tcPr>
            <w:tcW w:w="3443" w:type="dxa"/>
            <w:vAlign w:val="center"/>
          </w:tcPr>
          <w:p w14:paraId="2F929DE0" w14:textId="77777777" w:rsidR="0096742E" w:rsidRDefault="009F6C37">
            <w:r>
              <w:rPr>
                <w:sz w:val="17"/>
              </w:rPr>
              <w:t>Run preregistered, multi-context studies with independent labels, held-out organizations, candidate outcomes, subgroup analysis, and qualified calibration data before making external performance claims.</w:t>
            </w:r>
          </w:p>
        </w:tc>
      </w:tr>
      <w:tr w:rsidR="0096742E" w14:paraId="45164327" w14:textId="77777777">
        <w:trPr>
          <w:cantSplit/>
          <w:jc w:val="center"/>
        </w:trPr>
        <w:tc>
          <w:tcPr>
            <w:tcW w:w="3061" w:type="dxa"/>
            <w:vAlign w:val="center"/>
          </w:tcPr>
          <w:p w14:paraId="163F7D2B" w14:textId="77777777" w:rsidR="0096742E" w:rsidRDefault="009F6C37">
            <w:pPr>
              <w:spacing w:after="0"/>
            </w:pPr>
            <w:r>
              <w:rPr>
                <w:sz w:val="16"/>
              </w:rPr>
              <w:t>Named-company structural controls</w:t>
            </w:r>
          </w:p>
        </w:tc>
        <w:tc>
          <w:tcPr>
            <w:tcW w:w="4777" w:type="dxa"/>
            <w:vAlign w:val="center"/>
          </w:tcPr>
          <w:p w14:paraId="1CB1A028" w14:textId="77777777" w:rsidR="0096742E" w:rsidRDefault="009F6C37">
            <w:pPr>
              <w:spacing w:after="0"/>
            </w:pPr>
            <w:r>
              <w:rPr>
                <w:sz w:val="16"/>
              </w:rPr>
              <w:t>Experiment 1B verifies that frozen priors propagate as declared; it does not show that the named employers actually use those priorities.</w:t>
            </w:r>
          </w:p>
        </w:tc>
        <w:tc>
          <w:tcPr>
            <w:tcW w:w="3443" w:type="dxa"/>
            <w:vAlign w:val="center"/>
          </w:tcPr>
          <w:p w14:paraId="6559E796" w14:textId="77777777" w:rsidR="0096742E" w:rsidRDefault="009F6C37">
            <w:pPr>
              <w:spacing w:after="0"/>
            </w:pPr>
            <w:r>
              <w:rPr>
                <w:sz w:val="16"/>
              </w:rPr>
              <w:t>Validate company-specific hypotheses only with permitted, attributable, current evidence and independent evaluation.</w:t>
            </w:r>
          </w:p>
        </w:tc>
      </w:tr>
      <w:tr w:rsidR="0096742E" w14:paraId="5A2434EA" w14:textId="77777777">
        <w:trPr>
          <w:cantSplit/>
          <w:jc w:val="center"/>
        </w:trPr>
        <w:tc>
          <w:tcPr>
            <w:tcW w:w="3061" w:type="dxa"/>
            <w:vAlign w:val="center"/>
          </w:tcPr>
          <w:p w14:paraId="021B0AF6" w14:textId="77777777" w:rsidR="0096742E" w:rsidRDefault="009F6C37">
            <w:pPr>
              <w:spacing w:after="0"/>
            </w:pPr>
            <w:r>
              <w:rPr>
                <w:sz w:val="16"/>
              </w:rPr>
              <w:t>Semantic-regression model scope</w:t>
            </w:r>
          </w:p>
        </w:tc>
        <w:tc>
          <w:tcPr>
            <w:tcW w:w="4777" w:type="dxa"/>
            <w:vAlign w:val="center"/>
          </w:tcPr>
          <w:p w14:paraId="62802009" w14:textId="77777777" w:rsidR="0096742E" w:rsidRDefault="009F6C37">
            <w:pPr>
              <w:spacing w:after="0"/>
            </w:pPr>
            <w:r>
              <w:rPr>
                <w:sz w:val="16"/>
              </w:rPr>
              <w:t>Experiment 3 does not rerun the current production language model; historical model outputs were not recovered in the public artifact.</w:t>
            </w:r>
          </w:p>
        </w:tc>
        <w:tc>
          <w:tcPr>
            <w:tcW w:w="3443" w:type="dxa"/>
            <w:vAlign w:val="center"/>
          </w:tcPr>
          <w:p w14:paraId="6859DA9A" w14:textId="77777777" w:rsidR="0096742E" w:rsidRDefault="009F6C37">
            <w:pPr>
              <w:spacing w:after="0"/>
            </w:pPr>
            <w:r>
              <w:rPr>
                <w:sz w:val="16"/>
              </w:rPr>
              <w:t>Archive prompt/model versions and generated outputs, then run response-level regression on future production changes.</w:t>
            </w:r>
          </w:p>
        </w:tc>
      </w:tr>
      <w:tr w:rsidR="0096742E" w14:paraId="43695EDA" w14:textId="77777777">
        <w:trPr>
          <w:cantSplit/>
          <w:jc w:val="center"/>
        </w:trPr>
        <w:tc>
          <w:tcPr>
            <w:tcW w:w="3061" w:type="dxa"/>
            <w:vAlign w:val="center"/>
          </w:tcPr>
          <w:p w14:paraId="3A0ECF39" w14:textId="77777777" w:rsidR="0096742E" w:rsidRDefault="009F6C37">
            <w:pPr>
              <w:spacing w:after="0"/>
            </w:pPr>
            <w:r>
              <w:rPr>
                <w:sz w:val="16"/>
              </w:rPr>
              <w:t>Fairness evidence remains limited</w:t>
            </w:r>
          </w:p>
        </w:tc>
        <w:tc>
          <w:tcPr>
            <w:tcW w:w="4777" w:type="dxa"/>
            <w:vAlign w:val="center"/>
          </w:tcPr>
          <w:p w14:paraId="65308BDB" w14:textId="77777777" w:rsidR="0096742E" w:rsidRDefault="009F6C37">
            <w:pPr>
              <w:spacing w:after="0"/>
            </w:pPr>
            <w:r>
              <w:rPr>
                <w:sz w:val="16"/>
              </w:rPr>
              <w:t>AHA-006 is one controlled language-surface fixture and cannot establish subgroup or population fairness.</w:t>
            </w:r>
          </w:p>
        </w:tc>
        <w:tc>
          <w:tcPr>
            <w:tcW w:w="3443" w:type="dxa"/>
            <w:vAlign w:val="center"/>
          </w:tcPr>
          <w:p w14:paraId="12723BB6" w14:textId="77777777" w:rsidR="0096742E" w:rsidRDefault="009F6C37">
            <w:pPr>
              <w:spacing w:after="0"/>
            </w:pPr>
            <w:r>
              <w:rPr>
                <w:sz w:val="16"/>
              </w:rPr>
              <w:t>Conduct multilingual and counterfactual fairness studies with subgroup error analysis, human review, and accessibility evaluation.</w:t>
            </w:r>
          </w:p>
        </w:tc>
      </w:tr>
      <w:tr w:rsidR="0096742E" w14:paraId="53CA7CD2" w14:textId="77777777">
        <w:trPr>
          <w:jc w:val="center"/>
        </w:trPr>
        <w:tc>
          <w:tcPr>
            <w:tcW w:w="3061" w:type="dxa"/>
          </w:tcPr>
          <w:p w14:paraId="3C68B1B4" w14:textId="77777777" w:rsidR="0096742E" w:rsidRDefault="009F6C37">
            <w:r>
              <w:rPr>
                <w:sz w:val="17"/>
              </w:rPr>
              <w:t>Plug-in hierarchy uncertainty</w:t>
            </w:r>
          </w:p>
        </w:tc>
        <w:tc>
          <w:tcPr>
            <w:tcW w:w="4777" w:type="dxa"/>
          </w:tcPr>
          <w:p w14:paraId="17761E6F" w14:textId="77777777" w:rsidR="0096742E" w:rsidRDefault="009F6C37">
            <w:r>
              <w:rPr>
                <w:sz w:val="17"/>
              </w:rPr>
              <w:t>The public hierarchy recursively substitutes parent posterior means and its reported Dirichlet intervals are conditional on those plug-in parents; upper-level posterior uncertainty is not propagated through the runtime approximation.</w:t>
            </w:r>
          </w:p>
        </w:tc>
        <w:tc>
          <w:tcPr>
            <w:tcW w:w="3443" w:type="dxa"/>
          </w:tcPr>
          <w:p w14:paraId="297A4C36" w14:textId="77777777" w:rsidR="0096742E" w:rsidRDefault="009F6C37">
            <w:r>
              <w:rPr>
                <w:sz w:val="17"/>
              </w:rPr>
              <w:t>Disclose the approximation explicitly; use Experiment 5 as an internal sensitivity benchmark; use an uncertainty-propagating hierarchical implementation and empirical coverage study when external probability claims require it.</w:t>
            </w:r>
          </w:p>
        </w:tc>
      </w:tr>
      <w:tr w:rsidR="00974A14" w14:paraId="19775C6A" w14:textId="77777777">
        <w:trPr>
          <w:jc w:val="center"/>
        </w:trPr>
        <w:tc>
          <w:tcPr>
            <w:tcW w:w="3061" w:type="dxa"/>
          </w:tcPr>
          <w:p w14:paraId="4FB82F2C" w14:textId="13211039" w:rsidR="00974A14" w:rsidRDefault="00974A14">
            <w:pPr>
              <w:rPr>
                <w:sz w:val="17"/>
              </w:rPr>
            </w:pPr>
            <w:r>
              <w:rPr>
                <w:sz w:val="17"/>
              </w:rPr>
              <w:t>Routing-shrinkage overlap</w:t>
            </w:r>
          </w:p>
        </w:tc>
        <w:tc>
          <w:tcPr>
            <w:tcW w:w="4777" w:type="dxa"/>
          </w:tcPr>
          <w:p w14:paraId="67F67AA2" w14:textId="767819A5" w:rsidR="00974A14" w:rsidRDefault="00974A14">
            <w:pPr>
              <w:rPr>
                <w:sz w:val="17"/>
              </w:rPr>
            </w:pPr>
            <w:r>
              <w:rPr>
                <w:sz w:val="17"/>
              </w:rPr>
              <w:t>L0 may already contain broader-context influence through hierarchical shrinkage, and the routing decision distribution can add further L3/L5 influence. Experiment 6 shows regime-dependent benefit and degradation under controlled K=5 synthetic conditions.</w:t>
            </w:r>
          </w:p>
        </w:tc>
        <w:tc>
          <w:tcPr>
            <w:tcW w:w="3443" w:type="dxa"/>
          </w:tcPr>
          <w:p w14:paraId="75CB75E9" w14:textId="787CBEF5" w:rsidR="00974A14" w:rsidRDefault="00974A14">
            <w:pPr>
              <w:rPr>
                <w:sz w:val="17"/>
              </w:rPr>
            </w:pPr>
            <w:r>
              <w:rPr>
                <w:sz w:val="17"/>
              </w:rPr>
              <w:t>Treat routing as a policy decision layer rather than a second Bayesian update; monitor contextual disagreement and routing shift; evaluate mismatch-aware routing rules on governed external data before claiming statistical optimality.</w:t>
            </w:r>
          </w:p>
        </w:tc>
      </w:tr>
    </w:tbl>
    <w:p w14:paraId="1FFB5080" w14:textId="77777777" w:rsidR="0096742E" w:rsidRDefault="009F6C37">
      <w:pPr>
        <w:pStyle w:val="Heading2"/>
        <w:rPr>
          <w:bCs/>
        </w:rPr>
      </w:pPr>
      <w:r>
        <w:t>10.2 Parameter Honesty</w:t>
      </w:r>
    </w:p>
    <w:p w14:paraId="074C0AEE" w14:textId="6F6C9AA6" w:rsidR="0096742E" w:rsidRDefault="001D5D47">
      <w:r>
        <w:t>The following parameters are initial settings requiring validation, not theoretical constants. Version 1.5 preserves the controlled one-factor sensitivity evidence for lambda0, gamma, and delta and adds the Experiment 6 routing-shrinkage interaction study, but directional sensitivity and synthetic comparative behavior are not the same as empirical calibration or optimal parameter selection:</w:t>
      </w:r>
    </w:p>
    <w:p w14:paraId="3C35FF56" w14:textId="40EF7F60" w:rsidR="0096742E" w:rsidRDefault="001D5D47">
      <w:r>
        <w:t>These values should be pre-registered, tested, and revised based on empirical results. The controlled sensitivity study confirms expected directional behavior for selected parameters but does not establish theoretical optimality, external calibration, or transfer across populations and interview domains. Experiment 5 characterizes one binary hierarchy-approximation boundary, and Experiment 6 characterizes routing-shrinkage overlap across a declared K=5 synthetic grid; neither identifies an empirically optimal concentration, coverage score, or backoff setting.</w:t>
      </w:r>
    </w:p>
    <w:p w14:paraId="1A236FE4" w14:textId="771FD586" w:rsidR="0096742E" w:rsidRDefault="001D5D47">
      <w:r>
        <w:t>Version 1.5 retains the v1.2 deprecation of the v1.1 notation “kappa = 20” for an observation half-life. The symbols kappa_c, kappa_i, and kappa_a are reserved for hierarchical concentration parameters. A descriptive legacy observation-half-life field remains in the public configuration only for audit traceability and is not used as a separate inference hyperparameter by the reference path.</w:t>
      </w:r>
    </w:p>
    <w:p w14:paraId="7E91494D" w14:textId="77777777" w:rsidR="0096742E" w:rsidRDefault="009F6C37">
      <w:pPr>
        <w:pStyle w:val="Heading2"/>
        <w:rPr>
          <w:bCs/>
        </w:rPr>
      </w:pPr>
      <w:r>
        <w:t>10.3 Future Research</w:t>
      </w:r>
    </w:p>
    <w:p w14:paraId="5C882B02" w14:textId="08016C02" w:rsidR="0096742E" w:rsidRDefault="001D5D47">
      <w:r>
        <w:t>Two planned ablations remain intentionally unexecuted in the synthetic bundle. A1 requires an external corpus and retrieval-relevance ground truth; A5 requires human evaluation of explanation usefulness and evidence lineage. Treating either as a synthetic success would overstate what the artifact can establish. External evaluation should therefore prioritize ecological validity, current-model response regression, retrieval ground truth, human explainability, population-level fairness, calibration of the final released distribution, estimation and validation of routing coverage c_l, and mismatch-aware routing policies suggested by Experiment 6.</w:t>
      </w:r>
    </w:p>
    <w:p w14:paraId="72A6F629" w14:textId="77777777" w:rsidR="0096742E" w:rsidRDefault="009F6C37">
      <w:r>
        <w:rPr>
          <w:rFonts w:eastAsia="Times New Roman"/>
          <w:color w:val="232323"/>
        </w:rPr>
        <w:pict w14:anchorId="5AEAE9C9">
          <v:rect id="_x0000_i1034" style="width:0;height:.75pt" o:hralign="center" o:hrstd="t" o:hr="t" fillcolor="#a0a0a0" stroked="f"/>
        </w:pict>
      </w:r>
    </w:p>
    <w:p w14:paraId="0A3E80C7" w14:textId="77777777" w:rsidR="0096742E" w:rsidRDefault="009F6C37">
      <w:pPr>
        <w:pStyle w:val="Heading1"/>
        <w:rPr>
          <w:bCs/>
        </w:rPr>
      </w:pPr>
      <w:r>
        <w:t>11 Conclusion</w:t>
      </w:r>
    </w:p>
    <w:p w14:paraId="6B572640" w14:textId="77777777" w:rsidR="0096742E" w:rsidRDefault="009F6C37">
      <w:r>
        <w:t xml:space="preserve">AIMS Lens Engine provides a disciplined way to pursue context-aware interview practice without converting plausible AI dialogue into unsupported claims about employers or candidates. Its central artifact is a versioned, evidence-bounded Lens; its technical mechanism combines constrained dependency assumptions, hierarchical partial pooling, explicit backoff, compatibility rules, uncertainty, and provenance; and its ethical commitment is that contextual specificity must be earned by attributable, authorized, </w:t>
      </w:r>
      <w:r>
        <w:t>sufficiently current evidence.</w:t>
      </w:r>
    </w:p>
    <w:p w14:paraId="096357F8" w14:textId="25FCFE9C" w:rsidR="0096742E" w:rsidRDefault="00C96A0B">
      <w:r>
        <w:t>Version 1.5 extends the corrective verification architecture without changing its candidate-side research boundary. The earlier seven end-to-end invariant cases, eleven Lens/role controls, sensitivity studies, controlled ablations, and six semantic fixtures remain intact. Four adversarial cases demonstrate the corrected semantics for parameter information gain, top-label calibration diagnostics, permitted-category support, and zero-permitted-mass routing. A scoped binary hierarchy benchmark characterizes plug-in/reference discrepancy, and Experiment 6 shows that post-shrinkage routing has regime-dependent effects: it can improve synthetic predictive behavior under sparse/aligned conditions and can degrade it under strong broader-context mismatch.</w:t>
      </w:r>
    </w:p>
    <w:p w14:paraId="43327C2B" w14:textId="05F21744" w:rsidR="0096742E" w:rsidRDefault="00C96A0B">
      <w:r>
        <w:t>These results narrow uncertainty about the implementation, the hierarchy approximation, and the routing-shrinkage interaction, but they do not close the external-validity gap. They do not show that a named organization follows a Lens, that the selected hyperparameters or routing coverage scores are optimal, that the final released distribution is calibrated on real participant data, that the current production language model will always satisfy the semantic contract, that one language-surface fixture establishes fairness, or that use of the system improves employment outcomes. Candidate-state adaptation remains separate from organization-level evidence, and the framework continues to treat unsupported specificity as a reason to broaden, qualify, downgrade a claim, or abstain.</w:t>
      </w:r>
    </w:p>
    <w:p w14:paraId="02D24482" w14:textId="3A02713B" w:rsidR="0096742E" w:rsidRDefault="00C96A0B">
      <w:r>
        <w:t>The next research step is therefore external and governed: preregistered multi-context evaluation of relevance, candidate learning, qualified calibration and interval coverage, human explainability, retrieval quality, multilingual fairness, contestability, routing-coverage estimation, and mismatch-aware routing policies, together with—where justified—comparison of plug-in and uncertainty-propagating hierarchical implementations on real governed data. AIMS Lens Engine remains an institution-agnostic open-source core, with Reference Integration A as the first deep reference integration rather than the architecture boundary.</w:t>
      </w:r>
    </w:p>
    <w:p w14:paraId="579ADC42" w14:textId="77777777" w:rsidR="0096742E" w:rsidRDefault="009F6C37">
      <w:pPr>
        <w:pStyle w:val="Heading1"/>
      </w:pPr>
      <w:r>
        <w:t>Statements and Declarations</w:t>
      </w:r>
    </w:p>
    <w:p w14:paraId="6B00B02F" w14:textId="77777777" w:rsidR="0096742E" w:rsidRDefault="009F6C37">
      <w:pPr>
        <w:pStyle w:val="Heading2"/>
      </w:pPr>
      <w:r>
        <w:t>Competing Interests</w:t>
      </w:r>
    </w:p>
    <w:p w14:paraId="1473F49C" w14:textId="77777777" w:rsidR="0096742E" w:rsidRDefault="009F6C37">
      <w:r>
        <w:t>The author has a commercial relationship with the first reference integration described in this manuscript, which may benefit from applications of the framework. Identifying details are withheld in the review copy and are disclosed separately to the editor. The AIMS Lens Engine research core is institution-agnostic and is not architecturally dependent on that integration.</w:t>
      </w:r>
    </w:p>
    <w:p w14:paraId="3F7BD020" w14:textId="77777777" w:rsidR="0096742E" w:rsidRDefault="009F6C37">
      <w:pPr>
        <w:pStyle w:val="Heading2"/>
      </w:pPr>
      <w:r>
        <w:t>Code and Artifact Availability</w:t>
      </w:r>
    </w:p>
    <w:p w14:paraId="0BEC3219" w14:textId="2AD3FA7D" w:rsidR="0096742E" w:rsidRDefault="00C96A0B">
      <w:pPr>
        <w:jc w:val="left"/>
      </w:pPr>
      <w:r>
        <w:t>A v1.5 research artifact and reproducibility bundle corresponding to this manuscript will be frozen and synchronized to the anonymous reviewer snapshot before submission. The working v1.5 branch already contains the prespecified Experiment 6 protocol, implementation, committed outputs, and cross-environment zero-diff reproducibility gate. Public repository identity, immutable tag, and commit identifiers remain withheld in the review copy to preserve double-anonymous review and will be restored in the accepted manuscript.</w:t>
      </w:r>
    </w:p>
    <w:p w14:paraId="7F4A8DB8" w14:textId="77777777" w:rsidR="0096742E" w:rsidRDefault="009F6C37">
      <w:pPr>
        <w:pStyle w:val="Heading2"/>
      </w:pPr>
      <w:r>
        <w:t>Reference Implementation and Reproducibility</w:t>
      </w:r>
    </w:p>
    <w:p w14:paraId="6A2BC53A" w14:textId="77777777" w:rsidR="0096742E" w:rsidRDefault="009F6C37">
      <w:r>
        <w:t>The paper reference implementation targets Python 3.11 or newer, requires no network access or API keys, and uses synthetic/public-safe inputs. docs/PAPER_TO_CODE_MAP.md maps manuscript claims and equations to inspectable artifacts; docs/MATH_TO_CODE_COMPLETENESS_AUDIT.md records executable-counterpart completeness and corrective status; docs/IMPLEMENTATION_INTEGRATION_COVERAGE_MATRIX.md separately records candidate-runtime integration, evaluation/monitoring use, controlled experimental coverage, and extern</w:t>
      </w:r>
      <w:r>
        <w:t>al empirical-validation status. The public candidate-side runtime does not compose all fifteen Section 5 equations into one service path.</w:t>
      </w:r>
    </w:p>
    <w:p w14:paraId="2C3A25CD" w14:textId="77777777" w:rsidR="0096742E" w:rsidRDefault="009F6C37">
      <w:pPr>
        <w:pStyle w:val="CodeBlock"/>
        <w:rPr>
          <w:rFonts w:hint="eastAsia"/>
        </w:rPr>
      </w:pPr>
      <w:r>
        <w:t>python tools/validate_paper_artifact.py</w:t>
      </w:r>
    </w:p>
    <w:p w14:paraId="4DC8FA3F" w14:textId="77777777" w:rsidR="0096742E" w:rsidRDefault="009F6C37">
      <w:pPr>
        <w:pStyle w:val="CodeBlock"/>
        <w:rPr>
          <w:rFonts w:hint="eastAsia"/>
        </w:rPr>
      </w:pPr>
      <w:r>
        <w:t>python tools/validate_documentation_alignment.py</w:t>
      </w:r>
    </w:p>
    <w:p w14:paraId="32351562" w14:textId="77777777" w:rsidR="0096742E" w:rsidRDefault="009F6C37">
      <w:pPr>
        <w:pStyle w:val="CodeBlock"/>
        <w:rPr>
          <w:rFonts w:hint="eastAsia"/>
        </w:rPr>
      </w:pPr>
      <w:r>
        <w:t>python -m unittest discover -s tests -v</w:t>
      </w:r>
    </w:p>
    <w:p w14:paraId="398229EB" w14:textId="77777777" w:rsidR="0096742E" w:rsidRDefault="009F6C37">
      <w:pPr>
        <w:pStyle w:val="CodeBlock"/>
        <w:rPr>
          <w:rFonts w:hint="eastAsia"/>
        </w:rPr>
      </w:pPr>
      <w:r>
        <w:t>python tools/run_paper_artifact_demo.py</w:t>
      </w:r>
    </w:p>
    <w:p w14:paraId="518EE3A1" w14:textId="77777777" w:rsidR="0096742E" w:rsidRDefault="009F6C37">
      <w:pPr>
        <w:pStyle w:val="CodeBlock"/>
        <w:rPr>
          <w:rFonts w:hint="eastAsia"/>
        </w:rPr>
      </w:pPr>
      <w:r>
        <w:t>python tools/run_exp1a_core_verification.py</w:t>
      </w:r>
    </w:p>
    <w:p w14:paraId="71BF675C" w14:textId="77777777" w:rsidR="0096742E" w:rsidRDefault="009F6C37">
      <w:pPr>
        <w:pStyle w:val="CodeBlock"/>
        <w:rPr>
          <w:rFonts w:hint="eastAsia"/>
        </w:rPr>
      </w:pPr>
      <w:r>
        <w:t>python tools/run_exp1b_lens_differentiation.py</w:t>
      </w:r>
    </w:p>
    <w:p w14:paraId="56ED2663" w14:textId="77777777" w:rsidR="0096742E" w:rsidRDefault="009F6C37">
      <w:pPr>
        <w:pStyle w:val="CodeBlock"/>
        <w:rPr>
          <w:rFonts w:hint="eastAsia"/>
        </w:rPr>
      </w:pPr>
      <w:r>
        <w:t>python tools/run_exp2_sensitivity_ablation.py</w:t>
      </w:r>
    </w:p>
    <w:p w14:paraId="62E68871" w14:textId="77777777" w:rsidR="0096742E" w:rsidRDefault="009F6C37">
      <w:pPr>
        <w:pStyle w:val="CodeBlock"/>
        <w:rPr>
          <w:rFonts w:hint="eastAsia"/>
        </w:rPr>
      </w:pPr>
      <w:r>
        <w:t>python tools/run_exp3_semantic_regression.py</w:t>
      </w:r>
    </w:p>
    <w:p w14:paraId="410D4725" w14:textId="77777777" w:rsidR="0096742E" w:rsidRDefault="009F6C37">
      <w:pPr>
        <w:pStyle w:val="CodeBlock"/>
        <w:rPr>
          <w:rFonts w:hint="eastAsia"/>
        </w:rPr>
      </w:pPr>
      <w:r>
        <w:t>python tools/run_exp4_adversarial_alignment.py</w:t>
      </w:r>
    </w:p>
    <w:p w14:paraId="356F2617" w14:textId="77777777" w:rsidR="0096742E" w:rsidRDefault="009F6C37">
      <w:pPr>
        <w:pStyle w:val="CodeBlock"/>
        <w:rPr>
          <w:rFonts w:hint="eastAsia"/>
        </w:rPr>
      </w:pPr>
      <w:r>
        <w:t>python tools/run_exp5_hierarchy_approximation.py</w:t>
      </w:r>
    </w:p>
    <w:p w14:paraId="5C876D8F" w14:textId="77777777" w:rsidR="00BB7E63" w:rsidRDefault="00BB7E63" w:rsidP="00BB7E63">
      <w:pPr>
        <w:pStyle w:val="CodeBlock"/>
      </w:pPr>
      <w:r>
        <w:t>python tools/run_exp6_routing_overlap_ablation.py</w:t>
      </w:r>
    </w:p>
    <w:p w14:paraId="04151D6C" w14:textId="112BB5BA" w:rsidR="0096742E" w:rsidRDefault="00091240">
      <w:r>
        <w:t>These checks establish internal consistency, deterministic controlled behavior, candidate-side boundary enforcement, fail-closed abstention, declared sensitivity/ablation behavior, semantic-fixture contract reproduction, adversarial corrective alignment, scoped binary hierarchy-approximation behavior, routing-shrinkage overlap behavior, documentation alignment, and committed-output reproducibility. They do not establish that a named organization follows the modeled pattern, that the final released distribution is externally calibrated, that the current production language model has been revalidated by Experiment 3, that population-level fairness has been demonstrated, or that employment outcomes improve.</w:t>
      </w:r>
    </w:p>
    <w:p w14:paraId="39165C47" w14:textId="77777777" w:rsidR="0096742E" w:rsidRDefault="009F6C37">
      <w:pPr>
        <w:pStyle w:val="Heading2"/>
      </w:pPr>
      <w:r>
        <w:t>Data Availability</w:t>
      </w:r>
    </w:p>
    <w:p w14:paraId="29DED16F" w14:textId="5BFB1C38" w:rsidR="0096742E" w:rsidRDefault="00091240">
      <w:r>
        <w:t>This framework paper does not report results from a new empirical participant dataset. Version 1.5 reports synthetic controlled experiments, deterministic corrective fixtures, a synthetic binary latent-parameter hierarchy-approximation benchmark, a K=5 routing-shrinkage overlap ablation, and six public-safe semantic regression fixtures; these are not real candidate records and are not an employment-outcome dataset. The external empirical evaluation protocol specifies future data requirements and governance conditions. Reference Integration A user data, real candidate records, private organizational evidence, and production logs are not part of the research artifact.</w:t>
      </w:r>
    </w:p>
    <w:p w14:paraId="6415474B" w14:textId="77777777" w:rsidR="0096742E" w:rsidRDefault="009F6C37">
      <w:pPr>
        <w:pStyle w:val="Heading2"/>
      </w:pPr>
      <w:r>
        <w:t>Funding</w:t>
      </w:r>
    </w:p>
    <w:p w14:paraId="1F5CFC63" w14:textId="77777777" w:rsidR="0096742E" w:rsidRDefault="009F6C37">
      <w:r>
        <w:t>The author received no specific funding for this work.</w:t>
      </w:r>
    </w:p>
    <w:p w14:paraId="4D4B2A45" w14:textId="77777777" w:rsidR="0096742E" w:rsidRDefault="009F6C37">
      <w:pPr>
        <w:pStyle w:val="Heading2"/>
      </w:pPr>
      <w:r>
        <w:t>Use of Generative AI in Manuscript Preparation</w:t>
      </w:r>
    </w:p>
    <w:p w14:paraId="57A17DC5" w14:textId="7449130A" w:rsidR="0096742E" w:rsidRDefault="00091240">
      <w:r>
        <w:t>During preparation of version 1.5, the author used OpenAI ChatGPT to assist with literature discovery, structural editing, language revision, experiment-to-manuscript consistency checking, corrective-test design review, and document preparation. The author remains responsible for verifying cited sources, evaluating all generated text and code, making substantive research decisions, and approving the final manuscript.</w:t>
      </w:r>
    </w:p>
    <w:p w14:paraId="712074EB" w14:textId="77777777" w:rsidR="0096742E" w:rsidRDefault="009F6C37">
      <w:pPr>
        <w:pStyle w:val="Heading1"/>
        <w:rPr>
          <w:bCs/>
        </w:rPr>
      </w:pPr>
      <w:r>
        <w:rPr>
          <w:bCs/>
        </w:rPr>
        <w:t>References</w:t>
      </w:r>
    </w:p>
    <w:p w14:paraId="6962CD33" w14:textId="77777777" w:rsidR="0096742E" w:rsidRDefault="009F6C37">
      <w:r>
        <w:t>[1] Campion, M.A., Palmer, D.K., Campion, J.E.: A review of structure in the selection interview. Personnel Psychology 50(3), 655-702 (1997). https://doi.org/10.1111/j.1744-6570.1997.tb00709.x</w:t>
      </w:r>
    </w:p>
    <w:p w14:paraId="0E67072E" w14:textId="77777777" w:rsidR="0096742E" w:rsidRDefault="009F6C37">
      <w:r>
        <w:t>[2] Levashina, J., Hartwell, C.J., Morgeson, F.P., Campion, M.A.: The structured employment interview: Narrative and quantitative review of the research literature. Personnel Psychology 67(1), 241-293 (2014). https://doi.org/10.1111/peps.12052</w:t>
      </w:r>
    </w:p>
    <w:p w14:paraId="218B2789" w14:textId="77777777" w:rsidR="0096742E" w:rsidRDefault="009F6C37">
      <w:r>
        <w:t>[3] Huffcutt, A.I., Culbertson, S.S., Weyhrauch, W.S.: Employment interview reliability: New meta-analytic estimates by structure and format. International Journal of Selection and Assessment 21(3), 264-276 (2013). https://doi.org/10.1111/ijsa.12036</w:t>
      </w:r>
    </w:p>
    <w:p w14:paraId="7278729B" w14:textId="77777777" w:rsidR="0096742E" w:rsidRDefault="009F6C37">
      <w:r>
        <w:t>[4] Patel, R.D., Powell, D.M., Roulin, N., Spence, J.R.: Tell me more! Examining the benefits of adding structured probing in asynchronous video interviews. International Journal of Selection and Assessment 33(1), e12514 (2025). https://doi.org/10.1111/ijsa.12514</w:t>
      </w:r>
    </w:p>
    <w:p w14:paraId="11D19B39" w14:textId="77777777" w:rsidR="0096742E" w:rsidRDefault="009F6C37">
      <w:r>
        <w:t>[5] Langer, M., König, C.J., Papathanasiou, M.: Highly automated job interviews: Acceptance under the influence of stakes. International Journal of Selection and Assessment 27, 217-234 (2019). https://doi.org/10.1111/ijsa.12246</w:t>
      </w:r>
    </w:p>
    <w:p w14:paraId="313C9760" w14:textId="77777777" w:rsidR="0096742E" w:rsidRDefault="009F6C37">
      <w:r>
        <w:t>[6] Canagasuriam, D., Lukacik, E.-R.: ChatGPT, can you take my job interview? Examining artificial intelligence cheating in the asynchronous video interview. International Journal of Selection and Assessment 33(1), e12491 (2025). https://doi.org/10.1111/ijsa.12491</w:t>
      </w:r>
    </w:p>
    <w:p w14:paraId="7C880428" w14:textId="77777777" w:rsidR="0096742E" w:rsidRDefault="009F6C37">
      <w:r>
        <w:t>[7] Nofal, A.B., Ali, H., Hadi, M., Ahmad, A., Qayyum, A., Johri, A., Al-Fuqaha, A., Qadir, J.: AI-enhanced interview simulation in the metaverse: Transforming professional skills training through VR and generative conversational AI. Computers and Education: Artificial Intelligence 8, 100347 (2025). https://doi.org/10.1016/j.caeai.2024.100347</w:t>
      </w:r>
    </w:p>
    <w:p w14:paraId="09145AE9" w14:textId="77777777" w:rsidR="0096742E" w:rsidRDefault="009F6C37">
      <w:r>
        <w:t>[8] Köchling, A., Wehner, M.C.: Discriminated by an algorithm: A systematic review of discrimination and fairness by algorithmic decision-making in the context of HR recruitment and HR development. Business Research 13, 795-848 (2020). https://doi.org/10.1007/s40685-020-00134-w</w:t>
      </w:r>
    </w:p>
    <w:p w14:paraId="6CF0512B" w14:textId="77777777" w:rsidR="0096742E" w:rsidRDefault="009F6C37">
      <w:r>
        <w:t>[9] Raghavan, M., Barocas, S., Kleinberg, J., Levy, K.: Mitigating bias in algorithmic hiring: Evaluating claims and practices. In: Proceedings of the 2020 Conference on Fairness, Accountability, and Transparency, pp. 469-481. ACM (2020). https://doi.org/10.1145/3351095.3372828</w:t>
      </w:r>
    </w:p>
    <w:p w14:paraId="5A66C51F" w14:textId="77777777" w:rsidR="0096742E" w:rsidRDefault="009F6C37">
      <w:r>
        <w:t>[10] Davidson, J., Schnepp, J., Buttrick, H., Gupta, A.: A framework for ethical AI-HRM development and use. AI and Ethics 6, Article 28 (2026). https://doi.org/10.1007/s43681-025-00858-7</w:t>
      </w:r>
    </w:p>
    <w:p w14:paraId="33A522AF" w14:textId="77777777" w:rsidR="0096742E" w:rsidRDefault="009F6C37">
      <w:r>
        <w:t>[11] Brey, P., Dainow, B.: Ethics by design for artificial intelligence. AI and Ethics 4, 1265-1277 (2024). https://doi.org/10.1007/s43681-023-00330-4</w:t>
      </w:r>
    </w:p>
    <w:p w14:paraId="6130670B" w14:textId="77777777" w:rsidR="0096742E" w:rsidRDefault="009F6C37">
      <w:r>
        <w:t>[12] Ximenes, B.H., Santos, A., Ramalho, G.: Bridging principles and practice: Ethical machine learning in production for developers. AI and Ethics 6, Article 339 (2026). https://doi.org/10.1007/s43681-026-01083-6</w:t>
      </w:r>
    </w:p>
    <w:p w14:paraId="18EDF82D" w14:textId="77777777" w:rsidR="0096742E" w:rsidRDefault="009F6C37">
      <w:r>
        <w:t>[13] Li, X., Hao, Y., Hou, J., Huang, J., Wen, Q., et al.: MatrAIx: Simulating the world with 8.3 billion persona agents. arXiv:2608.04205 (2026).</w:t>
      </w:r>
    </w:p>
    <w:p w14:paraId="7C568E64" w14:textId="77777777" w:rsidR="0096742E" w:rsidRDefault="009F6C37">
      <w:r>
        <w:t>[14] Hama, K., Otsuka, A., Mizukami, M., Sugiyama, H., Naka, M.: RaPSIL: A Preference-Guided Interview Agent for Rapport-Aware Self-Disclosure. In: Proceedings of the 26th Annual Meeting of the Special Interest Group on Discourse and Dialogue, pp. 355-369. Association for Computational Linguistics (2025). https://aclanthology.org/2025.sigdial-1.29/</w:t>
      </w:r>
    </w:p>
    <w:p w14:paraId="1FA18D70" w14:textId="77777777" w:rsidR="0096742E" w:rsidRDefault="009F6C37">
      <w:r>
        <w:t>[15] Dong, X., Liu, S., Hu, H., Wu, D.: MirrorMind: A Dual-Agent AI Interview Simulator Powered by LLMs. In: Advanced Data Mining and Applications: ADMA 2025, pp. 378-392 (2025). https://doi.org/10.1007/978-981-95-3456-2_26</w:t>
      </w:r>
    </w:p>
    <w:p w14:paraId="13BBC5F3" w14:textId="77777777" w:rsidR="0096742E" w:rsidRDefault="009F6C37">
      <w:r>
        <w:t>[16] Brier, G.W.: Verification of forecasts expressed in terms of probability. Monthly Weather Review 78(1), 1-3 (1950). https://doi.org/10.1175/1520-0493(1950)078%3C0001:VOFEIT%3E2.0.CO;2</w:t>
      </w:r>
    </w:p>
    <w:p w14:paraId="25A5C0F6" w14:textId="77777777" w:rsidR="0096742E" w:rsidRDefault="009F6C37">
      <w:r>
        <w:t>[17] Guo, C., Pleiss, G., Sun, Y., Weinberger, K.Q.: On calibration of modern neural networks. In: Proceedings of the 34th International Conference on Machine Learning, pp. 1321-1330 (2017).</w:t>
      </w:r>
    </w:p>
    <w:p w14:paraId="62E8745B" w14:textId="77777777" w:rsidR="0096742E" w:rsidRDefault="009F6C37">
      <w:r>
        <w:t>[18] Gelman, A., Carlin, J.B., Stern, H.S., Dunson, D.B., Vehtari, A., Rubin, D.B.: Bayesian Data Analysis, 3rd edn. CRC Press (2013).</w:t>
      </w:r>
    </w:p>
    <w:p w14:paraId="0AC4C2D8" w14:textId="77777777" w:rsidR="0096742E" w:rsidRDefault="009F6C37">
      <w:r>
        <w:t>[19] Murphy, K.P.: Probabilistic Machine Learning: An Introduction. MIT Press (2022).</w:t>
      </w:r>
    </w:p>
    <w:p w14:paraId="39738EA5" w14:textId="77777777" w:rsidR="0096742E" w:rsidRDefault="009F6C37">
      <w:r>
        <w:t>[20] Chu, S.L., Karcz, M., Hashky, A., Rani, N., Chaspari, T., Arthur, W., Jr., Ragan, E.D.: User judgment of an AI model is biased by its description: A study in a job interview training context. International Journal of Human-Computer Studies 208, 103691 (2026). https://doi.org/10.1016/j.ijhcs.2025.103691</w:t>
      </w:r>
    </w:p>
    <w:p w14:paraId="21340FEF" w14:textId="77777777" w:rsidR="0096742E" w:rsidRDefault="009F6C37">
      <w:r>
        <w:t>[21] Sarikose, S., Sengul, T., Uncu, B., Kirkland-Kyhn, H., Kaya, N.: AI-guided interview simulation to improve employability and reduce anxiety in final-year nursing and midwifery students: A quasi-experimental study. Clinical Simulation in Nursing 109, 101852 (2025). https://doi.org/10.1016/j.ecns.2025.101852</w:t>
      </w:r>
    </w:p>
    <w:p w14:paraId="6553FBF2" w14:textId="77777777" w:rsidR="0096742E" w:rsidRDefault="009F6C37">
      <w:r>
        <w:t>[22] Maindidze, H.T., Randall, J.G., Martin-Raugh, M.P., Smith, K.M.: A meta-analysis of accent bias in employee interviews: The effects of gender and accent stereotypes, interview modality, and other moderating features. International Journal of Selection and Assessment 33(1), e12519 (2025). https://doi.org/10.1111/ijsa.12519</w:t>
      </w:r>
    </w:p>
    <w:sectPr w:rsidR="0096742E">
      <w:headerReference w:type="even" r:id="rId10"/>
      <w:headerReference w:type="default" r:id="rId11"/>
      <w:footerReference w:type="even" r:id="rId12"/>
      <w:footerReference w:type="default" r:id="rId13"/>
      <w:headerReference w:type="first" r:id="rId14"/>
      <w:footerReference w:type="first" r:id="rId15"/>
      <w:pgSz w:w="12240" w:h="15840"/>
      <w:pgMar w:top="1123" w:right="1224" w:bottom="1037" w:left="1224" w:header="461" w:footer="50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B9164" w14:textId="77777777" w:rsidR="009F6C37" w:rsidRDefault="009F6C37">
      <w:pPr>
        <w:spacing w:after="0" w:line="240" w:lineRule="auto"/>
      </w:pPr>
      <w:r>
        <w:separator/>
      </w:r>
    </w:p>
  </w:endnote>
  <w:endnote w:type="continuationSeparator" w:id="0">
    <w:p w14:paraId="1FCC20D1" w14:textId="77777777" w:rsidR="009F6C37" w:rsidRDefault="009F6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7C098" w14:textId="77777777" w:rsidR="0096742E" w:rsidRDefault="009F6C37">
    <w:pPr>
      <w:jc w:val="center"/>
    </w:pPr>
    <w:r>
      <w:t xml:space="preserve">JRT submission  •  double-anonymous review  •  p.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0F37" w14:textId="77777777" w:rsidR="0096742E" w:rsidRDefault="009F6C37">
    <w:pPr>
      <w:jc w:val="center"/>
    </w:pPr>
    <w:r>
      <w:t xml:space="preserve">JRT submission  •  double-anonymous review  •  p. </w:t>
    </w: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A2A9D" w14:textId="77777777" w:rsidR="0096742E" w:rsidRDefault="009F6C37">
    <w:pPr>
      <w:jc w:val="center"/>
    </w:pPr>
    <w:r>
      <w:t xml:space="preserve">JRT submission  •  double-anonymous review  •  p.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41D92" w14:textId="77777777" w:rsidR="009F6C37" w:rsidRDefault="009F6C37">
      <w:pPr>
        <w:spacing w:after="0" w:line="240" w:lineRule="auto"/>
      </w:pPr>
      <w:r>
        <w:separator/>
      </w:r>
    </w:p>
  </w:footnote>
  <w:footnote w:type="continuationSeparator" w:id="0">
    <w:p w14:paraId="70CB6407" w14:textId="77777777" w:rsidR="009F6C37" w:rsidRDefault="009F6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C1A5" w14:textId="77777777" w:rsidR="0096742E" w:rsidRDefault="009674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21450" w14:textId="77777777" w:rsidR="0096742E" w:rsidRDefault="009F6C37">
    <w:pPr>
      <w:pBdr>
        <w:bottom w:val="single" w:sz="4" w:space="3" w:color="D7DCE2"/>
      </w:pBdr>
      <w:spacing w:after="0"/>
      <w:jc w:val="right"/>
    </w:pPr>
    <w:r>
      <w:t>AIMS Lens Engine  |  JRT submission manuscript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9D61" w14:textId="77777777" w:rsidR="0096742E" w:rsidRDefault="0096742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570D4"/>
    <w:multiLevelType w:val="multilevel"/>
    <w:tmpl w:val="85E6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220A55"/>
    <w:multiLevelType w:val="multilevel"/>
    <w:tmpl w:val="FB7C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E53E9"/>
    <w:multiLevelType w:val="multilevel"/>
    <w:tmpl w:val="9B1C1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213817">
    <w:abstractNumId w:val="2"/>
  </w:num>
  <w:num w:numId="2" w16cid:durableId="176312428">
    <w:abstractNumId w:val="1"/>
  </w:num>
  <w:num w:numId="3" w16cid:durableId="1824008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EC4"/>
    <w:rsid w:val="00091240"/>
    <w:rsid w:val="001D5D47"/>
    <w:rsid w:val="002D6DDD"/>
    <w:rsid w:val="0096742E"/>
    <w:rsid w:val="00974A14"/>
    <w:rsid w:val="009F6C37"/>
    <w:rsid w:val="00B11FCD"/>
    <w:rsid w:val="00B315C2"/>
    <w:rsid w:val="00BB7E63"/>
    <w:rsid w:val="00C96A0B"/>
    <w:rsid w:val="00CE3EC4"/>
    <w:rsid w:val="00D235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BD8F"/>
  <w15:chartTrackingRefBased/>
  <w15:docId w15:val="{9B25C443-7D84-4A50-8797-C81E8CE7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69" w:lineRule="auto"/>
      <w:ind w:firstLine="259"/>
      <w:jc w:val="both"/>
    </w:pPr>
    <w:rPr>
      <w:rFonts w:ascii="Times New Roman" w:hAnsi="Times New Roman"/>
      <w:sz w:val="21"/>
    </w:rPr>
  </w:style>
  <w:style w:type="paragraph" w:styleId="Heading1">
    <w:name w:val="heading 1"/>
    <w:basedOn w:val="Normal"/>
    <w:next w:val="Normal"/>
    <w:link w:val="Heading1Char"/>
    <w:uiPriority w:val="9"/>
    <w:qFormat/>
    <w:rsid w:val="00CE3EC4"/>
    <w:pPr>
      <w:keepNext/>
      <w:keepLines/>
      <w:spacing w:before="280" w:after="120"/>
      <w:ind w:firstLine="0"/>
      <w:jc w:val="left"/>
      <w:outlineLvl w:val="0"/>
    </w:pPr>
    <w:rPr>
      <w:rFonts w:asciiTheme="majorHAnsi" w:eastAsiaTheme="majorEastAsia" w:hAnsiTheme="majorHAnsi" w:cstheme="majorBidi"/>
      <w:b/>
      <w:color w:val="1F374D"/>
      <w:sz w:val="29"/>
      <w:szCs w:val="40"/>
    </w:rPr>
  </w:style>
  <w:style w:type="paragraph" w:styleId="Heading2">
    <w:name w:val="heading 2"/>
    <w:basedOn w:val="Normal"/>
    <w:next w:val="Normal"/>
    <w:link w:val="Heading2Char"/>
    <w:uiPriority w:val="9"/>
    <w:unhideWhenUsed/>
    <w:qFormat/>
    <w:rsid w:val="00CE3EC4"/>
    <w:pPr>
      <w:keepNext/>
      <w:keepLines/>
      <w:spacing w:before="200" w:after="80"/>
      <w:ind w:firstLine="0"/>
      <w:jc w:val="left"/>
      <w:outlineLvl w:val="1"/>
    </w:pPr>
    <w:rPr>
      <w:rFonts w:asciiTheme="majorHAnsi" w:eastAsiaTheme="majorEastAsia" w:hAnsiTheme="majorHAnsi" w:cstheme="majorBidi"/>
      <w:b/>
      <w:color w:val="1F374D"/>
      <w:sz w:val="23"/>
      <w:szCs w:val="32"/>
    </w:rPr>
  </w:style>
  <w:style w:type="paragraph" w:styleId="Heading3">
    <w:name w:val="heading 3"/>
    <w:basedOn w:val="Normal"/>
    <w:next w:val="Normal"/>
    <w:link w:val="Heading3Char"/>
    <w:uiPriority w:val="9"/>
    <w:unhideWhenUsed/>
    <w:qFormat/>
    <w:rsid w:val="00CE3EC4"/>
    <w:pPr>
      <w:keepNext/>
      <w:keepLines/>
      <w:spacing w:before="140" w:after="60"/>
      <w:ind w:firstLine="0"/>
      <w:jc w:val="left"/>
      <w:outlineLvl w:val="2"/>
    </w:pPr>
    <w:rPr>
      <w:rFonts w:ascii="Arial" w:eastAsiaTheme="majorEastAsia" w:hAnsi="Arial" w:cstheme="majorBidi"/>
      <w:b/>
      <w:color w:val="1F374D"/>
      <w:szCs w:val="28"/>
    </w:rPr>
  </w:style>
  <w:style w:type="paragraph" w:styleId="Heading4">
    <w:name w:val="heading 4"/>
    <w:basedOn w:val="Normal"/>
    <w:next w:val="Normal"/>
    <w:link w:val="Heading4Char"/>
    <w:uiPriority w:val="9"/>
    <w:semiHidden/>
    <w:unhideWhenUsed/>
    <w:qFormat/>
    <w:rsid w:val="00CE3E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E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E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3E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E3E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E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E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EC4"/>
    <w:rPr>
      <w:rFonts w:eastAsiaTheme="majorEastAsia" w:cstheme="majorBidi"/>
      <w:color w:val="272727" w:themeColor="text1" w:themeTint="D8"/>
    </w:rPr>
  </w:style>
  <w:style w:type="paragraph" w:styleId="Title">
    <w:name w:val="Title"/>
    <w:basedOn w:val="Normal"/>
    <w:next w:val="Normal"/>
    <w:link w:val="TitleChar"/>
    <w:uiPriority w:val="10"/>
    <w:qFormat/>
    <w:rsid w:val="00CE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EC4"/>
    <w:pPr>
      <w:numPr>
        <w:ilvl w:val="1"/>
      </w:numPr>
      <w:ind w:firstLine="25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EC4"/>
    <w:pPr>
      <w:spacing w:before="160"/>
      <w:jc w:val="center"/>
    </w:pPr>
    <w:rPr>
      <w:i/>
      <w:iCs/>
      <w:color w:val="404040" w:themeColor="text1" w:themeTint="BF"/>
    </w:rPr>
  </w:style>
  <w:style w:type="character" w:customStyle="1" w:styleId="QuoteChar">
    <w:name w:val="Quote Char"/>
    <w:basedOn w:val="DefaultParagraphFont"/>
    <w:link w:val="Quote"/>
    <w:uiPriority w:val="29"/>
    <w:rsid w:val="00CE3EC4"/>
    <w:rPr>
      <w:i/>
      <w:iCs/>
      <w:color w:val="404040" w:themeColor="text1" w:themeTint="BF"/>
    </w:rPr>
  </w:style>
  <w:style w:type="paragraph" w:styleId="ListParagraph">
    <w:name w:val="List Paragraph"/>
    <w:basedOn w:val="Normal"/>
    <w:uiPriority w:val="34"/>
    <w:qFormat/>
    <w:rsid w:val="00CE3EC4"/>
    <w:pPr>
      <w:ind w:left="720"/>
      <w:contextualSpacing/>
    </w:pPr>
  </w:style>
  <w:style w:type="character" w:styleId="IntenseEmphasis">
    <w:name w:val="Intense Emphasis"/>
    <w:basedOn w:val="DefaultParagraphFont"/>
    <w:uiPriority w:val="21"/>
    <w:qFormat/>
    <w:rsid w:val="00CE3EC4"/>
    <w:rPr>
      <w:i/>
      <w:iCs/>
      <w:color w:val="0F4761" w:themeColor="accent1" w:themeShade="BF"/>
    </w:rPr>
  </w:style>
  <w:style w:type="paragraph" w:styleId="IntenseQuote">
    <w:name w:val="Intense Quote"/>
    <w:basedOn w:val="Normal"/>
    <w:next w:val="Normal"/>
    <w:link w:val="IntenseQuoteChar"/>
    <w:uiPriority w:val="30"/>
    <w:qFormat/>
    <w:rsid w:val="00CE3E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EC4"/>
    <w:rPr>
      <w:i/>
      <w:iCs/>
      <w:color w:val="0F4761" w:themeColor="accent1" w:themeShade="BF"/>
    </w:rPr>
  </w:style>
  <w:style w:type="character" w:styleId="IntenseReference">
    <w:name w:val="Intense Reference"/>
    <w:basedOn w:val="DefaultParagraphFont"/>
    <w:uiPriority w:val="32"/>
    <w:qFormat/>
    <w:rsid w:val="00CE3EC4"/>
    <w:rPr>
      <w:b/>
      <w:bCs/>
      <w:smallCaps/>
      <w:color w:val="0F4761" w:themeColor="accent1" w:themeShade="BF"/>
      <w:spacing w:val="5"/>
    </w:rPr>
  </w:style>
  <w:style w:type="paragraph" w:customStyle="1" w:styleId="msonormal0">
    <w:name w:val="msonormal"/>
    <w:basedOn w:val="Normal"/>
    <w:rsid w:val="00CE3EC4"/>
    <w:pPr>
      <w:spacing w:before="100" w:beforeAutospacing="1" w:after="100" w:afterAutospacing="1" w:line="240" w:lineRule="auto"/>
    </w:pPr>
    <w:rPr>
      <w:rFonts w:eastAsia="Times New Roman" w:cs="Times New Roman"/>
      <w:kern w:val="0"/>
      <w14:ligatures w14:val="none"/>
    </w:rPr>
  </w:style>
  <w:style w:type="paragraph" w:customStyle="1" w:styleId="ds-markdown-paragraph">
    <w:name w:val="ds-markdown-paragraph"/>
    <w:basedOn w:val="Normal"/>
    <w:rsid w:val="00CE3EC4"/>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CE3EC4"/>
    <w:rPr>
      <w:b/>
      <w:bCs/>
    </w:rPr>
  </w:style>
  <w:style w:type="character" w:customStyle="1" w:styleId="d813de27">
    <w:name w:val="d813de27"/>
    <w:basedOn w:val="DefaultParagraphFont"/>
    <w:rsid w:val="00CE3EC4"/>
  </w:style>
  <w:style w:type="paragraph" w:styleId="HTMLPreformatted">
    <w:name w:val="HTML Preformatted"/>
    <w:basedOn w:val="Normal"/>
    <w:link w:val="HTMLPreformattedChar"/>
    <w:uiPriority w:val="99"/>
    <w:semiHidden/>
    <w:unhideWhenUsed/>
    <w:rsid w:val="00CE3E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E3EC4"/>
    <w:rPr>
      <w:rFonts w:ascii="Courier New" w:eastAsia="Times New Roman" w:hAnsi="Courier New" w:cs="Courier New"/>
      <w:kern w:val="0"/>
      <w:sz w:val="20"/>
      <w:szCs w:val="20"/>
      <w14:ligatures w14:val="none"/>
    </w:rPr>
  </w:style>
  <w:style w:type="character" w:customStyle="1" w:styleId="token">
    <w:name w:val="token"/>
    <w:basedOn w:val="DefaultParagraphFont"/>
    <w:rsid w:val="00CE3EC4"/>
  </w:style>
  <w:style w:type="character" w:styleId="HTMLCode">
    <w:name w:val="HTML Code"/>
    <w:basedOn w:val="DefaultParagraphFont"/>
    <w:uiPriority w:val="99"/>
    <w:semiHidden/>
    <w:unhideWhenUsed/>
    <w:rsid w:val="00CE3EC4"/>
    <w:rPr>
      <w:rFonts w:ascii="Courier New" w:eastAsia="Times New Roman" w:hAnsi="Courier New" w:cs="Courier New"/>
      <w:sz w:val="20"/>
      <w:szCs w:val="20"/>
    </w:rPr>
  </w:style>
  <w:style w:type="character" w:customStyle="1" w:styleId="katex-display">
    <w:name w:val="katex-display"/>
    <w:basedOn w:val="DefaultParagraphFont"/>
    <w:rsid w:val="00CE3EC4"/>
  </w:style>
  <w:style w:type="character" w:customStyle="1" w:styleId="katex">
    <w:name w:val="katex"/>
    <w:basedOn w:val="DefaultParagraphFont"/>
    <w:rsid w:val="00CE3EC4"/>
  </w:style>
  <w:style w:type="character" w:customStyle="1" w:styleId="katex-mathml">
    <w:name w:val="katex-mathml"/>
    <w:basedOn w:val="DefaultParagraphFont"/>
    <w:rsid w:val="00CE3EC4"/>
  </w:style>
  <w:style w:type="character" w:customStyle="1" w:styleId="katex-html">
    <w:name w:val="katex-html"/>
    <w:basedOn w:val="DefaultParagraphFont"/>
    <w:rsid w:val="00CE3EC4"/>
  </w:style>
  <w:style w:type="character" w:customStyle="1" w:styleId="base">
    <w:name w:val="base"/>
    <w:basedOn w:val="DefaultParagraphFont"/>
    <w:rsid w:val="00CE3EC4"/>
  </w:style>
  <w:style w:type="character" w:customStyle="1" w:styleId="strut">
    <w:name w:val="strut"/>
    <w:basedOn w:val="DefaultParagraphFont"/>
    <w:rsid w:val="00CE3EC4"/>
  </w:style>
  <w:style w:type="character" w:customStyle="1" w:styleId="mord">
    <w:name w:val="mord"/>
    <w:basedOn w:val="DefaultParagraphFont"/>
    <w:rsid w:val="00CE3EC4"/>
  </w:style>
  <w:style w:type="character" w:customStyle="1" w:styleId="msupsub">
    <w:name w:val="msupsub"/>
    <w:basedOn w:val="DefaultParagraphFont"/>
    <w:rsid w:val="00CE3EC4"/>
  </w:style>
  <w:style w:type="character" w:customStyle="1" w:styleId="vlist-t">
    <w:name w:val="vlist-t"/>
    <w:basedOn w:val="DefaultParagraphFont"/>
    <w:rsid w:val="00CE3EC4"/>
  </w:style>
  <w:style w:type="character" w:customStyle="1" w:styleId="vlist-r">
    <w:name w:val="vlist-r"/>
    <w:basedOn w:val="DefaultParagraphFont"/>
    <w:rsid w:val="00CE3EC4"/>
  </w:style>
  <w:style w:type="character" w:customStyle="1" w:styleId="vlist">
    <w:name w:val="vlist"/>
    <w:basedOn w:val="DefaultParagraphFont"/>
    <w:rsid w:val="00CE3EC4"/>
  </w:style>
  <w:style w:type="character" w:customStyle="1" w:styleId="pstrut">
    <w:name w:val="pstrut"/>
    <w:basedOn w:val="DefaultParagraphFont"/>
    <w:rsid w:val="00CE3EC4"/>
  </w:style>
  <w:style w:type="character" w:customStyle="1" w:styleId="sizing">
    <w:name w:val="sizing"/>
    <w:basedOn w:val="DefaultParagraphFont"/>
    <w:rsid w:val="00CE3EC4"/>
  </w:style>
  <w:style w:type="character" w:customStyle="1" w:styleId="vlist-s">
    <w:name w:val="vlist-s"/>
    <w:basedOn w:val="DefaultParagraphFont"/>
    <w:rsid w:val="00CE3EC4"/>
  </w:style>
  <w:style w:type="character" w:customStyle="1" w:styleId="mopen">
    <w:name w:val="mopen"/>
    <w:basedOn w:val="DefaultParagraphFont"/>
    <w:rsid w:val="00CE3EC4"/>
  </w:style>
  <w:style w:type="character" w:customStyle="1" w:styleId="mspace">
    <w:name w:val="mspace"/>
    <w:basedOn w:val="DefaultParagraphFont"/>
    <w:rsid w:val="00CE3EC4"/>
  </w:style>
  <w:style w:type="character" w:customStyle="1" w:styleId="mrel">
    <w:name w:val="mrel"/>
    <w:basedOn w:val="DefaultParagraphFont"/>
    <w:rsid w:val="00CE3EC4"/>
  </w:style>
  <w:style w:type="character" w:customStyle="1" w:styleId="mclose">
    <w:name w:val="mclose"/>
    <w:basedOn w:val="DefaultParagraphFont"/>
    <w:rsid w:val="00CE3EC4"/>
  </w:style>
  <w:style w:type="character" w:customStyle="1" w:styleId="mop">
    <w:name w:val="mop"/>
    <w:basedOn w:val="DefaultParagraphFont"/>
    <w:rsid w:val="00CE3EC4"/>
  </w:style>
  <w:style w:type="character" w:customStyle="1" w:styleId="minner">
    <w:name w:val="minner"/>
    <w:basedOn w:val="DefaultParagraphFont"/>
    <w:rsid w:val="00CE3EC4"/>
  </w:style>
  <w:style w:type="character" w:customStyle="1" w:styleId="delimsizing">
    <w:name w:val="delimsizing"/>
    <w:basedOn w:val="DefaultParagraphFont"/>
    <w:rsid w:val="00CE3EC4"/>
  </w:style>
  <w:style w:type="character" w:customStyle="1" w:styleId="mpunct">
    <w:name w:val="mpunct"/>
    <w:basedOn w:val="DefaultParagraphFont"/>
    <w:rsid w:val="00CE3EC4"/>
  </w:style>
  <w:style w:type="character" w:customStyle="1" w:styleId="mbin">
    <w:name w:val="mbin"/>
    <w:basedOn w:val="DefaultParagraphFont"/>
    <w:rsid w:val="00CE3EC4"/>
  </w:style>
  <w:style w:type="character" w:customStyle="1" w:styleId="mfrac">
    <w:name w:val="mfrac"/>
    <w:basedOn w:val="DefaultParagraphFont"/>
    <w:rsid w:val="00CE3EC4"/>
  </w:style>
  <w:style w:type="character" w:customStyle="1" w:styleId="frac-line">
    <w:name w:val="frac-line"/>
    <w:basedOn w:val="DefaultParagraphFont"/>
    <w:rsid w:val="00CE3EC4"/>
  </w:style>
  <w:style w:type="character" w:customStyle="1" w:styleId="mtable">
    <w:name w:val="mtable"/>
    <w:basedOn w:val="DefaultParagraphFont"/>
    <w:rsid w:val="00CE3EC4"/>
  </w:style>
  <w:style w:type="character" w:customStyle="1" w:styleId="col-align-r">
    <w:name w:val="col-align-r"/>
    <w:basedOn w:val="DefaultParagraphFont"/>
    <w:rsid w:val="00CE3EC4"/>
  </w:style>
  <w:style w:type="character" w:customStyle="1" w:styleId="col-align-l">
    <w:name w:val="col-align-l"/>
    <w:basedOn w:val="DefaultParagraphFont"/>
    <w:rsid w:val="00CE3EC4"/>
  </w:style>
  <w:style w:type="character" w:customStyle="1" w:styleId="svg-align">
    <w:name w:val="svg-align"/>
    <w:basedOn w:val="DefaultParagraphFont"/>
    <w:rsid w:val="00CE3EC4"/>
  </w:style>
  <w:style w:type="character" w:styleId="Emphasis">
    <w:name w:val="Emphasis"/>
    <w:basedOn w:val="DefaultParagraphFont"/>
    <w:uiPriority w:val="20"/>
    <w:qFormat/>
    <w:rsid w:val="00CE3EC4"/>
    <w:rPr>
      <w:i/>
      <w:iCs/>
    </w:rPr>
  </w:style>
  <w:style w:type="character" w:styleId="Hyperlink">
    <w:name w:val="Hyperlink"/>
    <w:basedOn w:val="DefaultParagraphFont"/>
    <w:uiPriority w:val="99"/>
    <w:unhideWhenUsed/>
    <w:rsid w:val="00CE3EC4"/>
    <w:rPr>
      <w:color w:val="0000FF"/>
      <w:u w:val="single"/>
    </w:rPr>
  </w:style>
  <w:style w:type="character" w:styleId="FollowedHyperlink">
    <w:name w:val="FollowedHyperlink"/>
    <w:basedOn w:val="DefaultParagraphFont"/>
    <w:uiPriority w:val="99"/>
    <w:semiHidden/>
    <w:unhideWhenUsed/>
    <w:rsid w:val="00CE3EC4"/>
    <w:rPr>
      <w:color w:val="800080"/>
      <w:u w:val="single"/>
    </w:rPr>
  </w:style>
  <w:style w:type="character" w:styleId="UnresolvedMention">
    <w:name w:val="Unresolved Mention"/>
    <w:basedOn w:val="DefaultParagraphFont"/>
    <w:uiPriority w:val="99"/>
    <w:semiHidden/>
    <w:unhideWhenUsed/>
    <w:rsid w:val="00CE3EC4"/>
    <w:rPr>
      <w:color w:val="605E5C"/>
      <w:shd w:val="clear" w:color="auto" w:fill="E1DFDD"/>
    </w:rPr>
  </w:style>
  <w:style w:type="paragraph" w:customStyle="1" w:styleId="PaperTitle">
    <w:name w:val="Paper Title"/>
    <w:pPr>
      <w:jc w:val="center"/>
    </w:pPr>
    <w:rPr>
      <w:rFonts w:ascii="Arial" w:hAnsi="Arial"/>
      <w:b/>
      <w:color w:val="182C40"/>
      <w:sz w:val="36"/>
    </w:rPr>
  </w:style>
  <w:style w:type="paragraph" w:customStyle="1" w:styleId="AuthorLine">
    <w:name w:val="Author Line"/>
    <w:pPr>
      <w:spacing w:after="60"/>
      <w:jc w:val="center"/>
    </w:pPr>
    <w:rPr>
      <w:rFonts w:ascii="Times New Roman" w:hAnsi="Times New Roman"/>
      <w:color w:val="282828"/>
      <w:sz w:val="21"/>
    </w:rPr>
  </w:style>
  <w:style w:type="paragraph" w:customStyle="1" w:styleId="MetaLine">
    <w:name w:val="Meta Line"/>
    <w:pPr>
      <w:spacing w:after="280"/>
      <w:jc w:val="center"/>
    </w:pPr>
    <w:rPr>
      <w:rFonts w:ascii="Times New Roman" w:hAnsi="Times New Roman"/>
      <w:i/>
      <w:color w:val="5A5A5A"/>
      <w:sz w:val="18"/>
    </w:rPr>
  </w:style>
  <w:style w:type="paragraph" w:customStyle="1" w:styleId="AbstractHeading">
    <w:name w:val="Abstract Heading"/>
    <w:pPr>
      <w:spacing w:before="60" w:after="60"/>
    </w:pPr>
    <w:rPr>
      <w:rFonts w:ascii="Arial" w:hAnsi="Arial"/>
      <w:b/>
      <w:color w:val="1F374D"/>
      <w:sz w:val="21"/>
    </w:rPr>
  </w:style>
  <w:style w:type="paragraph" w:customStyle="1" w:styleId="AbstractText">
    <w:name w:val="Abstract Text"/>
    <w:pPr>
      <w:spacing w:after="80" w:line="252" w:lineRule="auto"/>
    </w:pPr>
    <w:rPr>
      <w:rFonts w:ascii="Times New Roman" w:hAnsi="Times New Roman"/>
      <w:color w:val="232323"/>
      <w:sz w:val="19"/>
    </w:rPr>
  </w:style>
  <w:style w:type="paragraph" w:customStyle="1" w:styleId="Keywords">
    <w:name w:val="Keywords"/>
    <w:pPr>
      <w:spacing w:after="200"/>
    </w:pPr>
    <w:rPr>
      <w:rFonts w:ascii="Times New Roman" w:hAnsi="Times New Roman"/>
      <w:color w:val="373737"/>
      <w:sz w:val="18"/>
    </w:rPr>
  </w:style>
  <w:style w:type="paragraph" w:customStyle="1" w:styleId="FigureCaption">
    <w:name w:val="Figure Caption"/>
    <w:pPr>
      <w:spacing w:after="140"/>
      <w:jc w:val="center"/>
    </w:pPr>
    <w:rPr>
      <w:rFonts w:ascii="Times New Roman" w:hAnsi="Times New Roman"/>
      <w:color w:val="373737"/>
      <w:sz w:val="17"/>
    </w:rPr>
  </w:style>
  <w:style w:type="paragraph" w:customStyle="1" w:styleId="TableCaption">
    <w:name w:val="Table Caption"/>
    <w:pPr>
      <w:keepNext/>
      <w:spacing w:after="140"/>
      <w:jc w:val="center"/>
    </w:pPr>
    <w:rPr>
      <w:rFonts w:ascii="Times New Roman" w:hAnsi="Times New Roman"/>
      <w:color w:val="373737"/>
      <w:sz w:val="17"/>
    </w:rPr>
  </w:style>
  <w:style w:type="paragraph" w:customStyle="1" w:styleId="ListingCaption">
    <w:name w:val="Listing Caption"/>
    <w:pPr>
      <w:keepNext/>
      <w:spacing w:before="100" w:after="40"/>
    </w:pPr>
    <w:rPr>
      <w:rFonts w:ascii="Arial" w:hAnsi="Arial"/>
      <w:b/>
      <w:color w:val="2D4152"/>
      <w:sz w:val="17"/>
    </w:rPr>
  </w:style>
  <w:style w:type="paragraph" w:customStyle="1" w:styleId="CodeBlock">
    <w:name w:val="Code Block"/>
    <w:pPr>
      <w:spacing w:after="0" w:line="240" w:lineRule="auto"/>
      <w:ind w:left="173" w:right="72"/>
    </w:pPr>
    <w:rPr>
      <w:rFonts w:ascii="Consolas" w:hAnsi="Consolas"/>
      <w:color w:val="232323"/>
      <w:sz w:val="16"/>
    </w:rPr>
  </w:style>
  <w:style w:type="paragraph" w:customStyle="1" w:styleId="RQBlock">
    <w:name w:val="RQ Block"/>
    <w:pPr>
      <w:spacing w:after="80"/>
      <w:ind w:left="230" w:right="115"/>
    </w:pPr>
    <w:rPr>
      <w:rFonts w:ascii="Times New Roman" w:hAnsi="Times New Roman"/>
      <w:color w:val="232323"/>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12684</Words>
  <Characters>72304</Characters>
  <Application>Microsoft Office Word</Application>
  <DocSecurity>0</DocSecurity>
  <Lines>602</Lines>
  <Paragraphs>169</Paragraphs>
  <ScaleCrop>false</ScaleCrop>
  <Company/>
  <LinksUpToDate>false</LinksUpToDate>
  <CharactersWithSpaces>84819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AIMS Lens Engine: An Evidence-Governed Probabilistic Framework for Interview Follow-Up Simulation and Practice Prioritization</dc:title>
  <dc:subject>Double-anonymous review copy</dc:subject>
  <dc:creator/>
  <cp:keywords>interview simulation; practice prioritization; Bayesian modeling; evidence provenance; human-centered AI</cp:keywords>
  <dc:description/>
  <cp:lastModifiedBy/>
  <cp:revision>8</cp:revision>
  <dcterms:created xsi:type="dcterms:W3CDTF">2026-09-15T03:19:00Z</dcterms:created>
  <dcterms:modified xsi:type="dcterms:W3CDTF">2026-09-28T15:08:00Z</dcterms:modified>
</cp:coreProperties>
</file>