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Reporting practices</w:t>
      </w:r>
    </w:p>
    <w:p>
      <w:pPr>
        <w:pStyle w:val="Author"/>
      </w:pPr>
      <w:r>
        <w:t xml:space="preserve">Joe Warne¹</w:t>
      </w:r>
    </w:p>
    <w:p>
      <w:pPr>
        <w:pStyle w:val="Author"/>
      </w:pPr>
      <w:r>
        <w:t xml:space="preserve">Jennifer Murphy¹</w:t>
      </w:r>
    </w:p>
    <w:p>
      <w:pPr>
        <w:pStyle w:val="Author"/>
      </w:pPr>
      <w:r>
        <w:t xml:space="preserve">Daniël Lakens²</w:t>
      </w:r>
    </w:p>
    <w:p>
      <w:pPr>
        <w:pStyle w:val="Author"/>
      </w:pPr>
      <w:r>
        <w:t xml:space="preserve">Cristian Mesquida²</w:t>
      </w:r>
    </w:p>
    <w:bookmarkStart w:id="20" w:name="affiliation"/>
    <w:p>
      <w:pPr>
        <w:pStyle w:val="Heading4"/>
      </w:pPr>
      <w:r>
        <w:t xml:space="preserve">Affiliation</w:t>
      </w:r>
    </w:p>
    <w:p>
      <w:pPr>
        <w:pStyle w:val="FirstParagraph"/>
      </w:pPr>
      <w:r>
        <w:t xml:space="preserve">¹ School of Biological, Health and Sports Sciences, Technological University Dublin, Tallaght, Dublin, Ireland</w:t>
      </w:r>
    </w:p>
    <w:p>
      <w:pPr>
        <w:pStyle w:val="BodyText"/>
      </w:pPr>
      <w:r>
        <w:t xml:space="preserve">² Human-Technology Interaction Group, Eindhoven University of Technology, Eindhoven, The Netherlands</w:t>
      </w:r>
    </w:p>
    <w:bookmarkEnd w:id="20"/>
    <w:bookmarkStart w:id="21" w:name="orcids"/>
    <w:p>
      <w:pPr>
        <w:pStyle w:val="Heading4"/>
      </w:pPr>
      <w:r>
        <w:t xml:space="preserve">ORCIDs</w:t>
      </w:r>
    </w:p>
    <w:p>
      <w:pPr>
        <w:pStyle w:val="FirstParagraph"/>
      </w:pPr>
      <w:r>
        <w:t xml:space="preserve">Joe Warne – 0000-0002-4359-8132</w:t>
      </w:r>
    </w:p>
    <w:p>
      <w:pPr>
        <w:pStyle w:val="BodyText"/>
      </w:pPr>
      <w:r>
        <w:t xml:space="preserve">Jennifer Murphy – 0000-0001-8624-3828</w:t>
      </w:r>
    </w:p>
    <w:p>
      <w:pPr>
        <w:pStyle w:val="BodyText"/>
      </w:pPr>
      <w:r>
        <w:t xml:space="preserve">Daniël Lakens – 0000-0002-0247-239X</w:t>
      </w:r>
    </w:p>
    <w:p>
      <w:pPr>
        <w:pStyle w:val="BodyText"/>
      </w:pPr>
      <w:r>
        <w:t xml:space="preserve">Cristian Mesquida – 0000-0002-1542-8355</w:t>
      </w:r>
    </w:p>
    <w:bookmarkEnd w:id="21"/>
    <w:bookmarkStart w:id="22" w:name="correspondence"/>
    <w:p>
      <w:pPr>
        <w:pStyle w:val="Heading4"/>
      </w:pPr>
      <w:r>
        <w:t xml:space="preserve">Correspondence</w:t>
      </w:r>
    </w:p>
    <w:p>
      <w:r>
        <w:br w:type="page"/>
      </w:r>
    </w:p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4" w:name="methods"/>
    <w:p>
      <w:pPr>
        <w:pStyle w:val="Heading1"/>
      </w:pPr>
      <w:r>
        <w:t xml:space="preserve">Methods</w:t>
      </w:r>
    </w:p>
    <w:bookmarkEnd w:id="24"/>
    <w:bookmarkStart w:id="25" w:name="results"/>
    <w:p>
      <w:pPr>
        <w:pStyle w:val="Heading1"/>
      </w:pPr>
      <w:r>
        <w:t xml:space="preserve">Results</w:t>
      </w:r>
    </w:p>
    <w:bookmarkEnd w:id="25"/>
    <w:bookmarkStart w:id="26" w:name="discussion"/>
    <w:p>
      <w:pPr>
        <w:pStyle w:val="Heading1"/>
      </w:pPr>
      <w:r>
        <w:t xml:space="preserve">Discussion</w:t>
      </w:r>
    </w:p>
    <w:bookmarkEnd w:id="26"/>
    <w:bookmarkStart w:id="27" w:name="references"/>
    <w:p>
      <w:pPr>
        <w:pStyle w:val="Heading1"/>
      </w:pPr>
      <w:r>
        <w:t xml:space="preserve">References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practices</dc:title>
  <dc:creator>Joe Warne¹; Jennifer Murphy¹; Daniël Lakens²; Cristian Mesquida²</dc:creator>
  <cp:keywords/>
  <dcterms:created xsi:type="dcterms:W3CDTF">2026-02-24T13:30:45Z</dcterms:created>
  <dcterms:modified xsi:type="dcterms:W3CDTF">2026-02-24T13:30:45Z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