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rPr/>
      </w:pPr>
      <w:bookmarkStart w:colFirst="0" w:colLast="0" w:name="_m73sksdt9iib" w:id="0"/>
      <w:bookmarkEnd w:id="0"/>
      <w:r w:rsidDel="00000000" w:rsidR="00000000" w:rsidRPr="00000000">
        <w:rPr>
          <w:rtl w:val="0"/>
        </w:rPr>
        <w:t xml:space="preserve">Context Data for the Safety Chatbot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To build the safety-assistant chatbot, we first created a database of trusted reference materials. The goal was to give the chatbot accurate and relevant safety context relevant to the Piper Alpha incident. The given safety OSHA standards from the U.S. Department of Labor, including sections 1910.38, 1910.39, 1910.119, 1910.120, 1910.146, 1910.147, 1910.1200, were added to the chatbot’s internal regulation database. We also included an IChemE “Lessons Learned” report covering the Gas Condensate Injection Pump Leak from July 1988 in the U.K. Piper Oil Field. Together, these documents formed the initial set of safety materials the chatbot can use to answer questions.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The system is designed to accept more data in the future. Additional safety papers, reports, or internal company documents can be added easily. Because the system runs on a local database, confidential documents can be included without leaving the organization’s secure environment. If the chatbot is later upgraded to use a local implementation of a large language model (LLM), all stored information will remain private and accessible only to authorized staff within the company.</w:t>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pStyle w:val="Heading2"/>
        <w:rPr/>
      </w:pPr>
      <w:bookmarkStart w:colFirst="0" w:colLast="0" w:name="_kswu0lg12x7g" w:id="1"/>
      <w:bookmarkEnd w:id="1"/>
      <w:r w:rsidDel="00000000" w:rsidR="00000000" w:rsidRPr="00000000">
        <w:rPr>
          <w:rtl w:val="0"/>
        </w:rPr>
        <w:t xml:space="preserve">Information Storage for Retrieved </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To give the chatbot cited and reliable information, we needed a storage method that keeps the context of safety regulations intact. Most chatbots use a standard Retrieval-Augmented Generation (RAG) approach, where long documents are cut into independent chunks. At first, it seemed logical to split our regulations by their existing sections. However, this approach removes important context. Many subsections are only short phrases. When these fragments are retrieved on their own, they lose their context and the chatbot cannot understand how they fit into the larger safety procedure. A traditional RAG system would return isolated pieces of text, which is not enough for rich connected regulatory and safety information.</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After comparing different methods, we chose to add node graph interconnectivity to a traditional RAG model. In this approach, each part of a regulation is stored as a connected  node. When information is retrieved, the system does not return a single isolated section. Instead, it also returns its linked sections, such as the broader procedure it belongs to, all its subsections, and regulations it references. This gives the chatbot full regulation context instead of disconnected text fragments. The Graph-RAG (GRAG) provides clear interpretability for every answer the chatbot gives, the system can identify the exact sections and references used. This makes the chatbot both reliable and transparent, especially for safety-critical applications.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This architecture is scalable. More safety procedures beyond those linked to the Piper Alpha case can be added easily over time. The graph model naturally expands as new documents are linked in. Because this implementation uses a local Neo4j database, confidential documents can be added and stored securely without leaving the company network. The system can also support role-based access by marking certain nodes as restricted. Regular users would only see general safety information, while administrators or safety officers could view sensitive sections. This keeps the chatbot’s context complete while protecting confidential material.</w:t>
      </w:r>
    </w:p>
    <w:p w:rsidR="00000000" w:rsidDel="00000000" w:rsidP="00000000" w:rsidRDefault="00000000" w:rsidRPr="00000000" w14:paraId="0000000E">
      <w:pPr>
        <w:pStyle w:val="Heading2"/>
        <w:rPr/>
      </w:pPr>
      <w:bookmarkStart w:colFirst="0" w:colLast="0" w:name="_f4apawkfyklp" w:id="2"/>
      <w:bookmarkEnd w:id="2"/>
      <w:r w:rsidDel="00000000" w:rsidR="00000000" w:rsidRPr="00000000">
        <w:rPr>
          <w:rtl w:val="0"/>
        </w:rPr>
        <w:t xml:space="preserve">Building the Graph-Based RAG Structure</w:t>
      </w:r>
    </w:p>
    <w:p w:rsidR="00000000" w:rsidDel="00000000" w:rsidP="00000000" w:rsidRDefault="00000000" w:rsidRPr="00000000" w14:paraId="0000000F">
      <w:pPr>
        <w:spacing w:after="240" w:before="240" w:lineRule="auto"/>
        <w:rPr/>
      </w:pPr>
      <w:r w:rsidDel="00000000" w:rsidR="00000000" w:rsidRPr="00000000">
        <w:rPr>
          <w:rtl w:val="0"/>
        </w:rPr>
        <w:t xml:space="preserve">To create the graph RAG system, each document in the database was parsed to extract the raw OSHA regulatory sections. Every section was analyzed to determine its level within the hierarchy. For example, “1910.120” is a main section, “1910.120(b)” is a subsection, and “1910.120(b)(3)” is a deeper subsection. Each extracted section was tagged with its clause ID and its corresponding text. After all sections were converted into nodes, the nodes were linked based on their clause structure. A higher-level clause became the parent of its subsections, and any section that referenced another clause was also linked directly.</w:t>
      </w:r>
    </w:p>
    <w:p w:rsidR="00000000" w:rsidDel="00000000" w:rsidP="00000000" w:rsidRDefault="00000000" w:rsidRPr="00000000" w14:paraId="00000010">
      <w:pPr>
        <w:spacing w:after="240" w:before="240" w:lineRule="auto"/>
        <w:rPr/>
      </w:pPr>
      <w:r w:rsidDel="00000000" w:rsidR="00000000" w:rsidRPr="00000000">
        <w:rPr>
          <w:rtl w:val="0"/>
        </w:rPr>
        <w:t xml:space="preserve">For documents outside the OSHA standards—such as the IChemE lessons-learned report—sections were split using a standard RAG chunking method. These sections were then added to the graph as regular nodes. Once all nodes and connections were created, the complete graph was uploaded into a local Neo4j database, where it can be queried to retrieve the full context of any section.</w:t>
      </w:r>
    </w:p>
    <w:p w:rsidR="00000000" w:rsidDel="00000000" w:rsidP="00000000" w:rsidRDefault="00000000" w:rsidRPr="00000000" w14:paraId="00000011">
      <w:pPr>
        <w:pStyle w:val="Heading2"/>
        <w:keepNext w:val="0"/>
        <w:keepLines w:val="0"/>
        <w:rPr/>
      </w:pPr>
      <w:bookmarkStart w:colFirst="0" w:colLast="0" w:name="_96i6fy3q1w1" w:id="3"/>
      <w:bookmarkEnd w:id="3"/>
      <w:r w:rsidDel="00000000" w:rsidR="00000000" w:rsidRPr="00000000">
        <w:rPr>
          <w:rtl w:val="0"/>
        </w:rPr>
        <w:t xml:space="preserve">Retrieving Relevant Clauses Using Semantic Embeddings</w:t>
      </w:r>
    </w:p>
    <w:p w:rsidR="00000000" w:rsidDel="00000000" w:rsidP="00000000" w:rsidRDefault="00000000" w:rsidRPr="00000000" w14:paraId="00000012">
      <w:pPr>
        <w:spacing w:after="240" w:before="240" w:lineRule="auto"/>
        <w:rPr/>
      </w:pPr>
      <w:r w:rsidDel="00000000" w:rsidR="00000000" w:rsidRPr="00000000">
        <w:rPr>
          <w:rtl w:val="0"/>
        </w:rPr>
        <w:t xml:space="preserve">When a user asks a question, the system needs to find the most relevant sections in the database. A common approach would be keyword search. A keyword search checks if the words in the question appear in any clause. However, this method does not capture word meanings. For example, if someone asks about “hydrocarbon leak regulations,” a keyword search may miss a section titled “procedures on flammable gas releases,” even though they describe the same hazard. Keyword search cannot understand that these ideas are related.</w:t>
      </w:r>
    </w:p>
    <w:p w:rsidR="00000000" w:rsidDel="00000000" w:rsidP="00000000" w:rsidRDefault="00000000" w:rsidRPr="00000000" w14:paraId="00000013">
      <w:pPr>
        <w:spacing w:after="240" w:before="240" w:lineRule="auto"/>
        <w:rPr/>
      </w:pPr>
      <w:r w:rsidDel="00000000" w:rsidR="00000000" w:rsidRPr="00000000">
        <w:rPr>
          <w:rtl w:val="0"/>
        </w:rPr>
        <w:t xml:space="preserve">To solve this, our chatbot uses semantic embeddings. Embeddings turn text into vectors where similar meanings are placed near each other. This allows the system to recognize that terms like “gas leak” and “flammable release” to be related even if the words are different.</w:t>
      </w:r>
    </w:p>
    <w:p w:rsidR="00000000" w:rsidDel="00000000" w:rsidP="00000000" w:rsidRDefault="00000000" w:rsidRPr="00000000" w14:paraId="00000014">
      <w:pPr>
        <w:spacing w:after="240" w:before="240" w:lineRule="auto"/>
        <w:rPr/>
      </w:pPr>
      <w:r w:rsidDel="00000000" w:rsidR="00000000" w:rsidRPr="00000000">
        <w:rPr>
          <w:rtl w:val="0"/>
        </w:rPr>
        <w:t xml:space="preserve">When a question is submitted, the system creates an embedding for the question and compares it with embeddings of all clauses in the database. The closest matches are selected as context for answering. The embeddings are built on top of a pre-trained FAISS embedding.. This creates a specialized embedding space that can reliably retrieve the most relevant sections for each user query.</w:t>
      </w:r>
    </w:p>
    <w:p w:rsidR="00000000" w:rsidDel="00000000" w:rsidP="00000000" w:rsidRDefault="00000000" w:rsidRPr="00000000" w14:paraId="00000015">
      <w:pPr>
        <w:pStyle w:val="Heading2"/>
        <w:keepNext w:val="0"/>
        <w:keepLines w:val="0"/>
        <w:rPr/>
      </w:pPr>
      <w:bookmarkStart w:colFirst="0" w:colLast="0" w:name="_ejipvojhq37a" w:id="4"/>
      <w:bookmarkEnd w:id="4"/>
      <w:r w:rsidDel="00000000" w:rsidR="00000000" w:rsidRPr="00000000">
        <w:rPr>
          <w:rtl w:val="0"/>
        </w:rPr>
        <w:t xml:space="preserve">Generating Answers with the LLM</w:t>
      </w:r>
    </w:p>
    <w:p w:rsidR="00000000" w:rsidDel="00000000" w:rsidP="00000000" w:rsidRDefault="00000000" w:rsidRPr="00000000" w14:paraId="00000016">
      <w:pPr>
        <w:spacing w:after="240" w:before="240" w:lineRule="auto"/>
        <w:rPr/>
      </w:pPr>
      <w:r w:rsidDel="00000000" w:rsidR="00000000" w:rsidRPr="00000000">
        <w:rPr>
          <w:rtl w:val="0"/>
        </w:rPr>
        <w:t xml:space="preserve">Once</w:t>
      </w:r>
      <w:r w:rsidDel="00000000" w:rsidR="00000000" w:rsidRPr="00000000">
        <w:rPr>
          <w:rtl w:val="0"/>
        </w:rPr>
        <w:t xml:space="preserve"> the relevant clauses are identified, they are passed along with the user’s question to Gemini Pro 2.5, a state-of-the-art LLM. Gemini Pro 2.5 supports an extremely large context window—over 1 million input tokens and 65,000 output tokens—so it can process multiple regulatory clauses together without losing information. For our MVP, we used a free student version of Gemini Pro 2.5. In a full production setup, we plan to use a company-grade or industrial instance for highe</w:t>
      </w:r>
      <w:r w:rsidDel="00000000" w:rsidR="00000000" w:rsidRPr="00000000">
        <w:rPr>
          <w:rtl w:val="0"/>
        </w:rPr>
        <w:t xml:space="preserve">r capacity and enterprise-level performance.</w:t>
      </w:r>
    </w:p>
    <w:p w:rsidR="00000000" w:rsidDel="00000000" w:rsidP="00000000" w:rsidRDefault="00000000" w:rsidRPr="00000000" w14:paraId="00000017">
      <w:pPr>
        <w:spacing w:after="240" w:before="240" w:lineRule="auto"/>
        <w:rPr/>
      </w:pPr>
      <w:r w:rsidDel="00000000" w:rsidR="00000000" w:rsidRPr="00000000">
        <w:rPr>
          <w:rtl w:val="0"/>
        </w:rPr>
        <w:t xml:space="preserve">The model is tuned not only to provide accurate safety information but also to communicate in a way that refl</w:t>
      </w:r>
      <w:r w:rsidDel="00000000" w:rsidR="00000000" w:rsidRPr="00000000">
        <w:rPr>
          <w:rtl w:val="0"/>
        </w:rPr>
        <w:t xml:space="preserve">ects Qatari cultural values, including respect and integrity. This ensures that the chatbot is both technically reliable and culturally appropriate, making it a suitable assistant for safety operations in Qatar Chemical.</w:t>
      </w:r>
    </w:p>
    <w:p w:rsidR="00000000" w:rsidDel="00000000" w:rsidP="00000000" w:rsidRDefault="00000000" w:rsidRPr="00000000" w14:paraId="00000018">
      <w:pPr>
        <w:pStyle w:val="Heading2"/>
        <w:keepNext w:val="0"/>
        <w:keepLines w:val="0"/>
        <w:rPr/>
      </w:pPr>
      <w:bookmarkStart w:colFirst="0" w:colLast="0" w:name="_dnig2vap47vr" w:id="5"/>
      <w:bookmarkEnd w:id="5"/>
      <w:r w:rsidDel="00000000" w:rsidR="00000000" w:rsidRPr="00000000">
        <w:rPr>
          <w:rtl w:val="0"/>
        </w:rPr>
        <w:t xml:space="preserve">Team Structure and Workflow</w:t>
      </w:r>
    </w:p>
    <w:p w:rsidR="00000000" w:rsidDel="00000000" w:rsidP="00000000" w:rsidRDefault="00000000" w:rsidRPr="00000000" w14:paraId="00000019">
      <w:pPr>
        <w:spacing w:after="240" w:before="240" w:lineRule="auto"/>
        <w:rPr/>
      </w:pPr>
      <w:r w:rsidDel="00000000" w:rsidR="00000000" w:rsidRPr="00000000">
        <w:rPr>
          <w:rtl w:val="0"/>
        </w:rPr>
        <w:t xml:space="preserve">The team consisted of four Data Science and AI students and one Data and Cybersecurity student. During the competition, the group collaborated through a shared GitHub repository: </w:t>
      </w:r>
      <w:hyperlink r:id="rId6">
        <w:r w:rsidDel="00000000" w:rsidR="00000000" w:rsidRPr="00000000">
          <w:rPr>
            <w:color w:val="1155cc"/>
            <w:u w:val="single"/>
            <w:rtl w:val="0"/>
          </w:rPr>
          <w:t xml:space="preserve">https://github.com/joey-en/Piper-Alpha-Safety</w:t>
        </w:r>
      </w:hyperlink>
      <w:r w:rsidDel="00000000" w:rsidR="00000000" w:rsidRPr="00000000">
        <w:rPr>
          <w:rtl w:val="0"/>
        </w:rPr>
        <w:t xml:space="preserve">. All code and documentation were version-controlled with Git, enabling simultaneous work and efficient tracking of changes. Most of the implementation was done in Python 3, using libraries for data processing, embeddings, and Neo4j integration.</w:t>
      </w:r>
    </w:p>
    <w:p w:rsidR="00000000" w:rsidDel="00000000" w:rsidP="00000000" w:rsidRDefault="00000000" w:rsidRPr="00000000" w14:paraId="0000001A">
      <w:pPr>
        <w:spacing w:after="240" w:before="240" w:lineRule="auto"/>
        <w:rPr/>
      </w:pPr>
      <w:r w:rsidDel="00000000" w:rsidR="00000000" w:rsidRPr="00000000">
        <w:rPr>
          <w:rtl w:val="0"/>
        </w:rPr>
        <w:t xml:space="preserve">Tasks were divided based on expertise. Some members focused on graph database design and semantic search. Others worked on LLM integration and prompt tuning. Some handled front-end development and back-end integration. One member oversaw security aspects of the implementation.</w:t>
      </w:r>
    </w:p>
    <w:p w:rsidR="00000000" w:rsidDel="00000000" w:rsidP="00000000" w:rsidRDefault="00000000" w:rsidRPr="00000000" w14:paraId="0000001B">
      <w:pPr>
        <w:spacing w:after="240" w:before="240" w:lineRule="auto"/>
        <w:rPr/>
      </w:pPr>
      <w:r w:rsidDel="00000000" w:rsidR="00000000" w:rsidRPr="00000000">
        <w:rPr>
          <w:rtl w:val="0"/>
        </w:rPr>
        <w:t xml:space="preserve">Regular code reviews and discussions ensured consistency across workflows. Additional collaboration practices included:</w:t>
      </w:r>
    </w:p>
    <w:p w:rsidR="00000000" w:rsidDel="00000000" w:rsidP="00000000" w:rsidRDefault="00000000" w:rsidRPr="00000000" w14:paraId="0000001C">
      <w:pPr>
        <w:numPr>
          <w:ilvl w:val="0"/>
          <w:numId w:val="1"/>
        </w:numPr>
        <w:spacing w:after="0" w:afterAutospacing="0" w:before="240" w:lineRule="auto"/>
        <w:ind w:left="720" w:hanging="360"/>
        <w:rPr/>
      </w:pPr>
      <w:r w:rsidDel="00000000" w:rsidR="00000000" w:rsidRPr="00000000">
        <w:rPr>
          <w:rtl w:val="0"/>
        </w:rPr>
        <w:t xml:space="preserve">Using branching strategies for features and experiments.</w:t>
      </w:r>
    </w:p>
    <w:p w:rsidR="00000000" w:rsidDel="00000000" w:rsidP="00000000" w:rsidRDefault="00000000" w:rsidRPr="00000000" w14:paraId="0000001D">
      <w:pPr>
        <w:numPr>
          <w:ilvl w:val="0"/>
          <w:numId w:val="1"/>
        </w:numPr>
        <w:spacing w:after="0" w:afterAutospacing="0" w:before="0" w:beforeAutospacing="0" w:lineRule="auto"/>
        <w:ind w:left="720" w:hanging="360"/>
        <w:rPr/>
      </w:pPr>
      <w:r w:rsidDel="00000000" w:rsidR="00000000" w:rsidRPr="00000000">
        <w:rPr>
          <w:rtl w:val="0"/>
        </w:rPr>
        <w:t xml:space="preserve">Documenting setup instructions and scripts for reproducibility.</w:t>
      </w:r>
    </w:p>
    <w:p w:rsidR="00000000" w:rsidDel="00000000" w:rsidP="00000000" w:rsidRDefault="00000000" w:rsidRPr="00000000" w14:paraId="0000001E">
      <w:pPr>
        <w:numPr>
          <w:ilvl w:val="0"/>
          <w:numId w:val="1"/>
        </w:numPr>
        <w:spacing w:after="0" w:afterAutospacing="0" w:before="0" w:beforeAutospacing="0" w:lineRule="auto"/>
        <w:ind w:left="720" w:hanging="360"/>
      </w:pPr>
      <w:r w:rsidDel="00000000" w:rsidR="00000000" w:rsidRPr="00000000">
        <w:rPr>
          <w:rtl w:val="0"/>
        </w:rPr>
        <w:t xml:space="preserve">Regular virtual meetings to review progress, discuss challenges, and plan next steps.</w:t>
      </w:r>
    </w:p>
    <w:p w:rsidR="00000000" w:rsidDel="00000000" w:rsidP="00000000" w:rsidRDefault="00000000" w:rsidRPr="00000000" w14:paraId="0000001F">
      <w:pPr>
        <w:numPr>
          <w:ilvl w:val="0"/>
          <w:numId w:val="1"/>
        </w:numPr>
        <w:spacing w:after="240" w:before="0" w:beforeAutospacing="0" w:lineRule="auto"/>
        <w:ind w:left="720" w:hanging="360"/>
      </w:pPr>
      <w:r w:rsidDel="00000000" w:rsidR="00000000" w:rsidRPr="00000000">
        <w:rPr>
          <w:rtl w:val="0"/>
        </w:rPr>
        <w:t xml:space="preserve">Shared testing protocols to validate both retrieval and LLM outputs.</w:t>
      </w:r>
    </w:p>
    <w:p w:rsidR="00000000" w:rsidDel="00000000" w:rsidP="00000000" w:rsidRDefault="00000000" w:rsidRPr="00000000" w14:paraId="00000020">
      <w:pPr>
        <w:spacing w:after="240" w:before="240" w:lineRule="auto"/>
        <w:rPr/>
      </w:pPr>
      <w:r w:rsidDel="00000000" w:rsidR="00000000" w:rsidRPr="00000000">
        <w:rPr>
          <w:rtl w:val="0"/>
        </w:rPr>
        <w:t xml:space="preserve">This workflow enabled smooth coordination across all stages of development, from initial data preparation to the deployment of the chatbot prototype.</w:t>
      </w:r>
    </w:p>
    <w:p w:rsidR="00000000" w:rsidDel="00000000" w:rsidP="00000000" w:rsidRDefault="00000000" w:rsidRPr="00000000" w14:paraId="00000021">
      <w:pPr>
        <w:rPr/>
      </w:pPr>
      <w:r w:rsidDel="00000000" w:rsidR="00000000" w:rsidRPr="00000000">
        <w:rPr>
          <w:rtl w:val="0"/>
        </w:rPr>
      </w:r>
    </w:p>
    <w:sectPr>
      <w:pgSz w:h="16838" w:w="11906"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b w:val="1"/>
      <w:bCs w:val="1"/>
    </w:rPr>
  </w:style>
  <w:style w:type="paragraph" w:styleId="Heading2">
    <w:name w:val="heading 2"/>
    <w:basedOn w:val="Normal"/>
    <w:next w:val="Normal"/>
    <w:pPr>
      <w:keepNext w:val="1"/>
    </w:pPr>
    <w:rPr>
      <w:b w:val="1"/>
      <w:b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joey-en/Piper-Alpha-Safe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