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636hswgp63u2" w:id="0"/>
      <w:bookmarkEnd w:id="0"/>
      <w:r w:rsidDel="00000000" w:rsidR="00000000" w:rsidRPr="00000000">
        <w:rPr>
          <w:rFonts w:ascii="Arial Unicode MS" w:cs="Arial Unicode MS" w:eastAsia="Arial Unicode MS" w:hAnsi="Arial Unicode MS"/>
          <w:rtl w:val="0"/>
        </w:rPr>
        <w:t xml:space="preserve">재무제표 분석 보고서</w:t>
      </w:r>
    </w:p>
    <w:p w:rsidR="00000000" w:rsidDel="00000000" w:rsidP="00000000" w:rsidRDefault="00000000" w:rsidRPr="00000000" w14:paraId="00000002">
      <w:pPr>
        <w:pStyle w:val="Subtitle"/>
        <w:jc w:val="right"/>
        <w:rPr/>
      </w:pPr>
      <w:bookmarkStart w:colFirst="0" w:colLast="0" w:name="_2nf92u7pca8s" w:id="1"/>
      <w:bookmarkEnd w:id="1"/>
      <w:r w:rsidDel="00000000" w:rsidR="00000000" w:rsidRPr="00000000">
        <w:rPr>
          <w:rFonts w:ascii="Arial Unicode MS" w:cs="Arial Unicode MS" w:eastAsia="Arial Unicode MS" w:hAnsi="Arial Unicode MS"/>
          <w:rtl w:val="0"/>
        </w:rPr>
        <w:t xml:space="preserve">- 7조 칠면조</w:t>
      </w:r>
    </w:p>
    <w:p w:rsidR="00000000" w:rsidDel="00000000" w:rsidP="00000000" w:rsidRDefault="00000000" w:rsidRPr="00000000" w14:paraId="00000003">
      <w:pPr>
        <w:rPr>
          <w:b w:val="1"/>
          <w:sz w:val="30"/>
          <w:szCs w:val="30"/>
        </w:rPr>
      </w:pPr>
      <w:r w:rsidDel="00000000" w:rsidR="00000000" w:rsidRPr="00000000">
        <w:rPr>
          <w:rtl w:val="0"/>
        </w:rPr>
      </w:r>
    </w:p>
    <w:p w:rsidR="00000000" w:rsidDel="00000000" w:rsidP="00000000" w:rsidRDefault="00000000" w:rsidRPr="00000000" w14:paraId="00000004">
      <w:pPr>
        <w:rPr>
          <w:b w:val="1"/>
          <w:sz w:val="30"/>
          <w:szCs w:val="30"/>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rFonts w:ascii="Arial Unicode MS" w:cs="Arial Unicode MS" w:eastAsia="Arial Unicode MS" w:hAnsi="Arial Unicode MS"/>
          <w:b w:val="1"/>
          <w:sz w:val="30"/>
          <w:szCs w:val="30"/>
          <w:rtl w:val="0"/>
        </w:rPr>
        <w:t xml:space="preserve">목차</w:t>
      </w:r>
    </w:p>
    <w:p w:rsidR="00000000" w:rsidDel="00000000" w:rsidP="00000000" w:rsidRDefault="00000000" w:rsidRPr="00000000" w14:paraId="00000006">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4trewcbyb9ru">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삼성전자 보고서</w:t>
            </w:r>
          </w:hyperlink>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color w:val="212121"/>
              <w:rtl w:val="0"/>
            </w:rPr>
            <w:t xml:space="preserve">(이원구)</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_4trewcbyb9ru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hgkndy144lav">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SK hynix 보고서</w:t>
            </w:r>
          </w:hyperlink>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color w:val="212121"/>
              <w:rtl w:val="0"/>
            </w:rPr>
            <w:t xml:space="preserve">(안재형)</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_hgkndy144lav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ce6626qkxzw9">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DB하이텍 보고서</w:t>
            </w:r>
          </w:hyperlink>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color w:val="212121"/>
              <w:rtl w:val="0"/>
            </w:rPr>
            <w:t xml:space="preserve">(정혜우)</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_ce6626qkxzw9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rPr/>
          </w:pPr>
          <w:hyperlink w:anchor="_8jyxopo8jg6a">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넥슨지티 보고서</w:t>
            </w:r>
          </w:hyperlink>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color w:val="212121"/>
              <w:rtl w:val="0"/>
            </w:rPr>
            <w:t xml:space="preserve">(조휘)</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_8jyxopo8jg6a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pPr>
          <w:hyperlink w:anchor="_vb8p0lepu9vn">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NCSOFT </w:t>
            </w:r>
          </w:hyperlink>
          <w:hyperlink w:anchor="_vb8p0lepu9vn">
            <w:r w:rsidDel="00000000" w:rsidR="00000000" w:rsidRPr="00000000">
              <w:rPr>
                <w:b w:val="1"/>
                <w:color w:val="0000ff"/>
                <w:rtl w:val="0"/>
              </w:rPr>
              <w:t xml:space="preserve">보고서</w:t>
            </w:r>
          </w:hyperlink>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color w:val="212121"/>
              <w:rtl w:val="0"/>
            </w:rPr>
            <w:t xml:space="preserve">(이재훈)</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_vb8p0lepu9vn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after="80" w:before="200" w:line="240" w:lineRule="auto"/>
            <w:ind w:left="0" w:firstLine="0"/>
            <w:rPr>
              <w:color w:val="0000ff"/>
            </w:rPr>
          </w:pPr>
          <w:hyperlink w:anchor="_ab3qrc813en">
            <w:r w:rsidDel="00000000" w:rsidR="00000000" w:rsidRPr="00000000">
              <w:rPr>
                <w:b w:val="1"/>
                <w:color w:val="0000ff"/>
                <w:rtl w:val="0"/>
              </w:rPr>
              <w:t xml:space="preserve">반도체 회사 비교 및 분석</w:t>
            </w:r>
          </w:hyperlink>
          <w:r w:rsidDel="00000000" w:rsidR="00000000" w:rsidRPr="00000000">
            <w:rPr>
              <w:b w:val="1"/>
              <w:color w:val="0000ff"/>
              <w:rtl w:val="0"/>
            </w:rPr>
            <w:t xml:space="preserve"> </w:t>
          </w:r>
          <w:r w:rsidDel="00000000" w:rsidR="00000000" w:rsidRPr="00000000">
            <w:rPr>
              <w:rFonts w:ascii="Arial Unicode MS" w:cs="Arial Unicode MS" w:eastAsia="Arial Unicode MS" w:hAnsi="Arial Unicode MS"/>
              <w:color w:val="212121"/>
              <w:rtl w:val="0"/>
            </w:rPr>
            <w:t xml:space="preserve">(안재형)</w:t>
          </w:r>
          <w:r w:rsidDel="00000000" w:rsidR="00000000" w:rsidRPr="00000000">
            <w:rPr>
              <w:b w:val="1"/>
              <w:rtl w:val="0"/>
            </w:rPr>
            <w:tab/>
          </w:r>
          <w:r w:rsidDel="00000000" w:rsidR="00000000" w:rsidRPr="00000000">
            <w:fldChar w:fldCharType="begin"/>
            <w:instrText xml:space="preserve"> PAGEREF _ab3qrc813en \h </w:instrText>
            <w:fldChar w:fldCharType="separate"/>
          </w:r>
          <w:r w:rsidDel="00000000" w:rsidR="00000000" w:rsidRPr="00000000">
            <w:rPr>
              <w:b w:val="1"/>
              <w:color w:val="0000ff"/>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b w:val="1"/>
          <w:sz w:val="30"/>
          <w:szCs w:val="30"/>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rtl w:val="0"/>
        </w:rPr>
      </w:r>
    </w:p>
    <w:p w:rsidR="00000000" w:rsidDel="00000000" w:rsidP="00000000" w:rsidRDefault="00000000" w:rsidRPr="00000000" w14:paraId="0000000F">
      <w:pPr>
        <w:pStyle w:val="Title"/>
        <w:jc w:val="left"/>
        <w:rPr/>
      </w:pPr>
      <w:bookmarkStart w:colFirst="0" w:colLast="0" w:name="_n1uramdx8trt"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jc w:val="left"/>
        <w:rPr/>
      </w:pPr>
      <w:bookmarkStart w:colFirst="0" w:colLast="0" w:name="_d9sg9nldgd9v" w:id="3"/>
      <w:bookmarkEnd w:id="3"/>
      <w:r w:rsidDel="00000000" w:rsidR="00000000" w:rsidRPr="00000000">
        <w:rPr>
          <w:rtl w:val="0"/>
        </w:rPr>
      </w:r>
    </w:p>
    <w:p w:rsidR="00000000" w:rsidDel="00000000" w:rsidP="00000000" w:rsidRDefault="00000000" w:rsidRPr="00000000" w14:paraId="00000011">
      <w:pPr>
        <w:pStyle w:val="Heading1"/>
        <w:jc w:val="center"/>
        <w:rPr/>
      </w:pPr>
      <w:bookmarkStart w:colFirst="0" w:colLast="0" w:name="_4trewcbyb9ru" w:id="4"/>
      <w:bookmarkEnd w:id="4"/>
      <w:r w:rsidDel="00000000" w:rsidR="00000000" w:rsidRPr="00000000">
        <w:rPr>
          <w:rFonts w:ascii="Arial Unicode MS" w:cs="Arial Unicode MS" w:eastAsia="Arial Unicode MS" w:hAnsi="Arial Unicode MS"/>
          <w:rtl w:val="0"/>
        </w:rPr>
        <w:t xml:space="preserve">삼성전자 보고서</w:t>
      </w:r>
    </w:p>
    <w:p w:rsidR="00000000" w:rsidDel="00000000" w:rsidP="00000000" w:rsidRDefault="00000000" w:rsidRPr="00000000" w14:paraId="0000001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232363</wp:posOffset>
            </wp:positionV>
            <wp:extent cx="2635088" cy="787377"/>
            <wp:effectExtent b="0" l="0" r="0" t="0"/>
            <wp:wrapNone/>
            <wp:docPr id="43"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2635088" cy="787377"/>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numPr>
          <w:ilvl w:val="0"/>
          <w:numId w:val="22"/>
        </w:numPr>
        <w:ind w:left="720" w:hanging="360"/>
        <w:rPr>
          <w:b w:val="1"/>
          <w:color w:val="434343"/>
          <w:sz w:val="28"/>
          <w:szCs w:val="28"/>
        </w:rPr>
      </w:pPr>
      <w:bookmarkStart w:colFirst="0" w:colLast="0" w:name="_3u6purp0gv9d" w:id="5"/>
      <w:bookmarkEnd w:id="5"/>
      <w:r w:rsidDel="00000000" w:rsidR="00000000" w:rsidRPr="00000000">
        <w:rPr>
          <w:rFonts w:ascii="Arial Unicode MS" w:cs="Arial Unicode MS" w:eastAsia="Arial Unicode MS" w:hAnsi="Arial Unicode MS"/>
          <w:b w:val="1"/>
          <w:rtl w:val="0"/>
        </w:rPr>
        <w:t xml:space="preserve">기업 지표 </w:t>
      </w:r>
      <w:r w:rsidDel="00000000" w:rsidR="00000000" w:rsidRPr="00000000">
        <w:rPr>
          <w:rFonts w:ascii="Arial Unicode MS" w:cs="Arial Unicode MS" w:eastAsia="Arial Unicode MS" w:hAnsi="Arial Unicode MS"/>
          <w:rtl w:val="0"/>
        </w:rPr>
        <w:t xml:space="preserve">(단위: %)</w:t>
      </w:r>
    </w:p>
    <w:p w:rsidR="00000000" w:rsidDel="00000000" w:rsidP="00000000" w:rsidRDefault="00000000" w:rsidRPr="00000000" w14:paraId="0000001E">
      <w:pPr>
        <w:rPr/>
      </w:pPr>
      <w:r w:rsidDel="00000000" w:rsidR="00000000" w:rsidRPr="00000000">
        <w:rPr/>
        <w:drawing>
          <wp:inline distB="114300" distT="114300" distL="114300" distR="114300">
            <wp:extent cx="5731200" cy="2349500"/>
            <wp:effectExtent b="0" l="0" r="0" t="0"/>
            <wp:docPr id="2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2011~2020 재무제표를 통해 기업 펀더멘털을 분석할 파생 지표를 도출하였습니다. 안정성(유동비율, 부채비율, 재고비율), 수익성(ROE, 영업이익률), 성장성(매출액증가율, 자기자본증가율)의 세 가지 측면으로 지표를 살펴보도록 하겠습니다.</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numPr>
          <w:ilvl w:val="0"/>
          <w:numId w:val="22"/>
        </w:numPr>
        <w:ind w:left="720" w:hanging="360"/>
        <w:rPr>
          <w:b w:val="1"/>
          <w:color w:val="434343"/>
          <w:sz w:val="28"/>
          <w:szCs w:val="28"/>
        </w:rPr>
      </w:pPr>
      <w:bookmarkStart w:colFirst="0" w:colLast="0" w:name="_bhkmv8ypjpdn" w:id="6"/>
      <w:bookmarkEnd w:id="6"/>
      <w:r w:rsidDel="00000000" w:rsidR="00000000" w:rsidRPr="00000000">
        <w:rPr>
          <w:rFonts w:ascii="Arial Unicode MS" w:cs="Arial Unicode MS" w:eastAsia="Arial Unicode MS" w:hAnsi="Arial Unicode MS"/>
          <w:b w:val="1"/>
          <w:rtl w:val="0"/>
        </w:rPr>
        <w:t xml:space="preserve">안정성 : 유동비율과 부채비율</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2540000"/>
            <wp:effectExtent b="0" l="0" r="0" t="0"/>
            <wp:docPr id="56"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지난 10년간 삼성전자의 유동비율은 우상향 하는 추세를 보였습니다. 이는 기업의 단기 부채보다 보유 현금이 꾸준히 늘었다는 뜻으로 유동비율 260% 이상의 안정성을 보여주고 있습니다. 총 부채 비율은 우하향 하는 추세를 보였습니다. 부채 비율은 37%로 10년 전보다 훨씬 건강한 재무 상태를 보여줍니다.</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numPr>
          <w:ilvl w:val="0"/>
          <w:numId w:val="22"/>
        </w:numPr>
        <w:ind w:left="720" w:hanging="360"/>
        <w:rPr>
          <w:b w:val="1"/>
          <w:color w:val="434343"/>
          <w:sz w:val="28"/>
          <w:szCs w:val="28"/>
        </w:rPr>
      </w:pPr>
      <w:bookmarkStart w:colFirst="0" w:colLast="0" w:name="_4bizyohnwuop" w:id="7"/>
      <w:bookmarkEnd w:id="7"/>
      <w:r w:rsidDel="00000000" w:rsidR="00000000" w:rsidRPr="00000000">
        <w:rPr>
          <w:rFonts w:ascii="Arial Unicode MS" w:cs="Arial Unicode MS" w:eastAsia="Arial Unicode MS" w:hAnsi="Arial Unicode MS"/>
          <w:b w:val="1"/>
          <w:rtl w:val="0"/>
        </w:rPr>
        <w:t xml:space="preserve">안정성 : 재고비율과 재고자산</w:t>
      </w:r>
    </w:p>
    <w:p w:rsidR="00000000" w:rsidDel="00000000" w:rsidP="00000000" w:rsidRDefault="00000000" w:rsidRPr="00000000" w14:paraId="00000036">
      <w:pPr>
        <w:rPr/>
      </w:pPr>
      <w:r w:rsidDel="00000000" w:rsidR="00000000" w:rsidRPr="00000000">
        <w:rPr/>
        <w:drawing>
          <wp:inline distB="114300" distT="114300" distL="114300" distR="114300">
            <wp:extent cx="5731200" cy="2501900"/>
            <wp:effectExtent b="0" l="0" r="0" t="0"/>
            <wp:docPr id="2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Fonts w:ascii="Arial Unicode MS" w:cs="Arial Unicode MS" w:eastAsia="Arial Unicode MS" w:hAnsi="Arial Unicode MS"/>
          <w:rtl w:val="0"/>
        </w:rPr>
        <w:t xml:space="preserve">삼성전자의 재고비율은 최근에 증가 추세이긴 하지만 8~9%로 유지되는 경향을 보이며 안정적인 상태를 나타냅니다. 재고자산이 꾸준히 증가하였으나 재고비율은 유지되는 것으로 보아 총 자산 규모가 꾸준히 성장했음을 알 수 있습니다.</w:t>
      </w:r>
    </w:p>
    <w:p w:rsidR="00000000" w:rsidDel="00000000" w:rsidP="00000000" w:rsidRDefault="00000000" w:rsidRPr="00000000" w14:paraId="00000038">
      <w:pPr>
        <w:pStyle w:val="Heading3"/>
        <w:numPr>
          <w:ilvl w:val="0"/>
          <w:numId w:val="22"/>
        </w:numPr>
        <w:ind w:left="720" w:hanging="360"/>
        <w:rPr>
          <w:b w:val="1"/>
          <w:color w:val="434343"/>
          <w:sz w:val="28"/>
          <w:szCs w:val="28"/>
        </w:rPr>
      </w:pPr>
      <w:bookmarkStart w:colFirst="0" w:colLast="0" w:name="_ycq3k53cw1fg" w:id="8"/>
      <w:bookmarkEnd w:id="8"/>
      <w:r w:rsidDel="00000000" w:rsidR="00000000" w:rsidRPr="00000000">
        <w:rPr>
          <w:rFonts w:ascii="Arial Unicode MS" w:cs="Arial Unicode MS" w:eastAsia="Arial Unicode MS" w:hAnsi="Arial Unicode MS"/>
          <w:b w:val="1"/>
          <w:rtl w:val="0"/>
        </w:rPr>
        <w:t xml:space="preserve">수익성 : ROE</w:t>
      </w:r>
    </w:p>
    <w:p w:rsidR="00000000" w:rsidDel="00000000" w:rsidP="00000000" w:rsidRDefault="00000000" w:rsidRPr="00000000" w14:paraId="00000039">
      <w:pPr>
        <w:rPr/>
      </w:pPr>
      <w:r w:rsidDel="00000000" w:rsidR="00000000" w:rsidRPr="00000000">
        <w:rPr/>
        <w:drawing>
          <wp:inline distB="114300" distT="114300" distL="114300" distR="114300">
            <wp:extent cx="5731200" cy="2311400"/>
            <wp:effectExtent b="0" l="0" r="0" t="0"/>
            <wp:docPr id="36"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ROE는 매년 7~20%의 높은 수치를 보여왔습니다. 탄탄한 매출을 지속적으로 유지하고 있다고 볼 수 있습니다. ROIC는 알려진 일반 계산 공식으로 값을 도출하고자 하였으나 회사측 발표와 상이한 결과가 나타났습니다. ROIC는 회사마다 도출 공식이 다르고 그 공식이 외부에 알려진 바가 없어서 정확한 측정이 어려웠습니다.</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삼성 ROE의 정규분포는 안정적인 형상을 나타냈습니다. 매년 큰 기복이 없이 수익을 올렸다는 걸 확인할 수 있었습니다. 가장 분포가 많은 구간은 8~14%인데 제조업에서 ROE 8% 이상이면 우수하다고 알려져 있으므로 삼성은 상당히 높은 수익성을 나타내고 있다고 볼 수 있습니다.</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numPr>
          <w:ilvl w:val="0"/>
          <w:numId w:val="22"/>
        </w:numPr>
        <w:ind w:left="720" w:hanging="360"/>
        <w:rPr>
          <w:b w:val="1"/>
          <w:color w:val="434343"/>
          <w:sz w:val="28"/>
          <w:szCs w:val="28"/>
        </w:rPr>
      </w:pPr>
      <w:bookmarkStart w:colFirst="0" w:colLast="0" w:name="_9e3h6tjujrm2" w:id="9"/>
      <w:bookmarkEnd w:id="9"/>
      <w:r w:rsidDel="00000000" w:rsidR="00000000" w:rsidRPr="00000000">
        <w:rPr>
          <w:rFonts w:ascii="Arial Unicode MS" w:cs="Arial Unicode MS" w:eastAsia="Arial Unicode MS" w:hAnsi="Arial Unicode MS"/>
          <w:b w:val="1"/>
          <w:rtl w:val="0"/>
        </w:rPr>
        <w:t xml:space="preserve">수익성 : 영업이익률</w:t>
      </w:r>
    </w:p>
    <w:p w:rsidR="00000000" w:rsidDel="00000000" w:rsidP="00000000" w:rsidRDefault="00000000" w:rsidRPr="00000000" w14:paraId="00000043">
      <w:pPr>
        <w:rPr/>
      </w:pPr>
      <w:r w:rsidDel="00000000" w:rsidR="00000000" w:rsidRPr="00000000">
        <w:rPr/>
        <w:drawing>
          <wp:inline distB="114300" distT="114300" distL="114300" distR="114300">
            <wp:extent cx="4719638" cy="2438218"/>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719638" cy="243821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삼성전자의 영업이익률은 지난 10년간 항상 9% 이상의 높은 수치를 보여줬습니다. 단순히 매출만 높은 게 아니라 상당히 많은 마진이 남는 사업이라는 걸 확인할 수 있었습니다.</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numPr>
          <w:ilvl w:val="0"/>
          <w:numId w:val="22"/>
        </w:numPr>
        <w:ind w:left="720" w:hanging="360"/>
        <w:rPr>
          <w:b w:val="1"/>
          <w:color w:val="434343"/>
          <w:sz w:val="28"/>
          <w:szCs w:val="28"/>
        </w:rPr>
      </w:pPr>
      <w:bookmarkStart w:colFirst="0" w:colLast="0" w:name="_cszn6lho6e30" w:id="10"/>
      <w:bookmarkEnd w:id="10"/>
      <w:r w:rsidDel="00000000" w:rsidR="00000000" w:rsidRPr="00000000">
        <w:rPr>
          <w:rFonts w:ascii="Arial Unicode MS" w:cs="Arial Unicode MS" w:eastAsia="Arial Unicode MS" w:hAnsi="Arial Unicode MS"/>
          <w:b w:val="1"/>
          <w:rtl w:val="0"/>
        </w:rPr>
        <w:t xml:space="preserve">성장성 : 매출액증가율 및 자기자본증가율</w:t>
      </w:r>
    </w:p>
    <w:p w:rsidR="00000000" w:rsidDel="00000000" w:rsidP="00000000" w:rsidRDefault="00000000" w:rsidRPr="00000000" w14:paraId="00000048">
      <w:pPr>
        <w:rPr/>
      </w:pPr>
      <w:r w:rsidDel="00000000" w:rsidR="00000000" w:rsidRPr="00000000">
        <w:rPr/>
        <w:drawing>
          <wp:inline distB="114300" distT="114300" distL="114300" distR="114300">
            <wp:extent cx="5731200" cy="2514600"/>
            <wp:effectExtent b="0" l="0" r="0" t="0"/>
            <wp:docPr id="33"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매출액 증가율은 꾸준히 좋은 수치를 보여주지 못하고 기복이 있는 모습이 보였습니다. 정량적 분석만으로는 알 수 없지만, 포화 시장에서의 경쟁이나 경기 변동의 영향을 많이 받기 때문이 아닌가 추측해봅니다. 지표만 가지고 도출할 수 있는 확실한 결론은 삼성의 매출이 항상 과거보다 높다고 보장할 수는 없다는 점입니다. 그러나 매출에 다소 기복이 있었음에도 불구하고 회사의 자기자본은 언제나 매년 5% 이상 성장을 나타냈습니다.</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numPr>
          <w:ilvl w:val="0"/>
          <w:numId w:val="22"/>
        </w:numPr>
        <w:ind w:left="720" w:hanging="360"/>
        <w:rPr>
          <w:b w:val="1"/>
          <w:color w:val="434343"/>
          <w:sz w:val="28"/>
          <w:szCs w:val="28"/>
        </w:rPr>
      </w:pPr>
      <w:bookmarkStart w:colFirst="0" w:colLast="0" w:name="_xln5zct76vlo" w:id="11"/>
      <w:bookmarkEnd w:id="11"/>
      <w:r w:rsidDel="00000000" w:rsidR="00000000" w:rsidRPr="00000000">
        <w:rPr>
          <w:rFonts w:ascii="Arial Unicode MS" w:cs="Arial Unicode MS" w:eastAsia="Arial Unicode MS" w:hAnsi="Arial Unicode MS"/>
          <w:b w:val="1"/>
          <w:rtl w:val="0"/>
        </w:rPr>
        <w:t xml:space="preserve">결론</w:t>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삼성전자는 안정성 측면에서 흠잡을 곳 없이 뛰어난 재무 상태를 나타내었습니다. 수익성 측면에서도 높은 ROE, 기복이 적은 ROE를 나타내어 뛰어난 사업성을 보여주었습니다. 다만 성장성 측면에서는 다소 기복을 드러내어 과거 2012년, 2017년과 같은 큰 성장을 다시 보여줄 수 있을지 의문이 남았습니다.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정량적 분석만을 통해서 내리는 결론은 앞으로의 성장성에 대한 기대보다는, 부도 위험 없이 안정적인 캐시카우 사업을 영위하는 회사를 원한다면 삼성전자는 좋은 선택이 될 수 있다고 보여집니다.</w:t>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jc w:val="center"/>
        <w:rPr/>
      </w:pPr>
      <w:bookmarkStart w:colFirst="0" w:colLast="0" w:name="_hgkndy144lav" w:id="12"/>
      <w:bookmarkEnd w:id="12"/>
      <w:r w:rsidDel="00000000" w:rsidR="00000000" w:rsidRPr="00000000">
        <w:rPr>
          <w:rFonts w:ascii="Arial Unicode MS" w:cs="Arial Unicode MS" w:eastAsia="Arial Unicode MS" w:hAnsi="Arial Unicode MS"/>
          <w:rtl w:val="0"/>
        </w:rPr>
        <w:t xml:space="preserve">SK hynix 보고서</w:t>
      </w:r>
    </w:p>
    <w:p w:rsidR="00000000" w:rsidDel="00000000" w:rsidP="00000000" w:rsidRDefault="00000000" w:rsidRPr="00000000" w14:paraId="00000054">
      <w:pPr>
        <w:jc w:val="center"/>
        <w:rPr>
          <w:sz w:val="60"/>
          <w:szCs w:val="60"/>
        </w:rPr>
      </w:pPr>
      <w:r w:rsidDel="00000000" w:rsidR="00000000" w:rsidRPr="00000000">
        <w:rPr>
          <w:rtl w:val="0"/>
        </w:rPr>
      </w:r>
    </w:p>
    <w:p w:rsidR="00000000" w:rsidDel="00000000" w:rsidP="00000000" w:rsidRDefault="00000000" w:rsidRPr="00000000" w14:paraId="00000055">
      <w:pPr>
        <w:jc w:val="center"/>
        <w:rPr>
          <w:sz w:val="60"/>
          <w:szCs w:val="60"/>
        </w:rPr>
      </w:pPr>
      <w:r w:rsidDel="00000000" w:rsidR="00000000" w:rsidRPr="00000000">
        <w:rPr>
          <w:sz w:val="60"/>
          <w:szCs w:val="60"/>
        </w:rPr>
        <w:drawing>
          <wp:inline distB="114300" distT="114300" distL="114300" distR="114300">
            <wp:extent cx="3417090" cy="2026274"/>
            <wp:effectExtent b="0" l="0" r="0" t="0"/>
            <wp:docPr id="2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417090" cy="202627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Gulimche" w:cs="Gulimche" w:eastAsia="Gulimche" w:hAnsi="Gulimche"/>
          <w:sz w:val="28"/>
          <w:szCs w:val="28"/>
        </w:rPr>
      </w:pPr>
      <w:r w:rsidDel="00000000" w:rsidR="00000000" w:rsidRPr="00000000">
        <w:rPr>
          <w:rtl w:val="0"/>
        </w:rPr>
      </w:r>
    </w:p>
    <w:p w:rsidR="00000000" w:rsidDel="00000000" w:rsidP="00000000" w:rsidRDefault="00000000" w:rsidRPr="00000000" w14:paraId="00000057">
      <w:pPr>
        <w:jc w:val="both"/>
        <w:rPr>
          <w:rFonts w:ascii="Gulimche" w:cs="Gulimche" w:eastAsia="Gulimche" w:hAnsi="Gulimche"/>
          <w:sz w:val="28"/>
          <w:szCs w:val="28"/>
        </w:rPr>
      </w:pPr>
      <w:r w:rsidDel="00000000" w:rsidR="00000000" w:rsidRPr="00000000">
        <w:rPr>
          <w:rtl w:val="0"/>
        </w:rPr>
      </w:r>
    </w:p>
    <w:p w:rsidR="00000000" w:rsidDel="00000000" w:rsidP="00000000" w:rsidRDefault="00000000" w:rsidRPr="00000000" w14:paraId="00000058">
      <w:pPr>
        <w:jc w:val="center"/>
        <w:rPr>
          <w:rFonts w:ascii="Malgun Gothic" w:cs="Malgun Gothic" w:eastAsia="Malgun Gothic" w:hAnsi="Malgun Gothic"/>
          <w:sz w:val="28"/>
          <w:szCs w:val="28"/>
        </w:rPr>
      </w:pPr>
      <w:r w:rsidDel="00000000" w:rsidR="00000000" w:rsidRPr="00000000">
        <w:rPr>
          <w:rtl w:val="0"/>
        </w:rPr>
      </w:r>
    </w:p>
    <w:p w:rsidR="00000000" w:rsidDel="00000000" w:rsidP="00000000" w:rsidRDefault="00000000" w:rsidRPr="00000000" w14:paraId="00000059">
      <w:pPr>
        <w:jc w:val="center"/>
        <w:rPr>
          <w:rFonts w:ascii="Malgun Gothic" w:cs="Malgun Gothic" w:eastAsia="Malgun Gothic" w:hAnsi="Malgun Gothic"/>
          <w:b w:val="1"/>
          <w:sz w:val="36"/>
          <w:szCs w:val="36"/>
        </w:rPr>
      </w:pPr>
      <w:r w:rsidDel="00000000" w:rsidR="00000000" w:rsidRPr="00000000">
        <w:rPr>
          <w:rFonts w:ascii="Malgun Gothic" w:cs="Malgun Gothic" w:eastAsia="Malgun Gothic" w:hAnsi="Malgun Gothic"/>
          <w:b w:val="1"/>
          <w:sz w:val="36"/>
          <w:szCs w:val="36"/>
          <w:rtl w:val="0"/>
        </w:rPr>
        <w:t xml:space="preserve">반도체 기업 SK하이닉스의</w:t>
      </w:r>
    </w:p>
    <w:p w:rsidR="00000000" w:rsidDel="00000000" w:rsidP="00000000" w:rsidRDefault="00000000" w:rsidRPr="00000000" w14:paraId="0000005A">
      <w:pPr>
        <w:jc w:val="center"/>
        <w:rPr>
          <w:rFonts w:ascii="Dotumche" w:cs="Dotumche" w:eastAsia="Dotumche" w:hAnsi="Dotumche"/>
          <w:b w:val="1"/>
          <w:sz w:val="36"/>
          <w:szCs w:val="36"/>
        </w:rPr>
      </w:pPr>
      <w:r w:rsidDel="00000000" w:rsidR="00000000" w:rsidRPr="00000000">
        <w:rPr>
          <w:rFonts w:ascii="Malgun Gothic" w:cs="Malgun Gothic" w:eastAsia="Malgun Gothic" w:hAnsi="Malgun Gothic"/>
          <w:b w:val="1"/>
          <w:sz w:val="36"/>
          <w:szCs w:val="36"/>
          <w:rtl w:val="0"/>
        </w:rPr>
        <w:t xml:space="preserve">2011년 ~ 2020년 재무제표를 통한 투자분석</w:t>
      </w:r>
      <w:r w:rsidDel="00000000" w:rsidR="00000000" w:rsidRPr="00000000">
        <w:rPr>
          <w:rtl w:val="0"/>
        </w:rPr>
      </w:r>
    </w:p>
    <w:p w:rsidR="00000000" w:rsidDel="00000000" w:rsidP="00000000" w:rsidRDefault="00000000" w:rsidRPr="00000000" w14:paraId="0000005B">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5C">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5D">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5E">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5F">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0">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1">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2">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3">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4">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5">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6">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7">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8">
      <w:pPr>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9">
      <w:pPr>
        <w:spacing w:line="240" w:lineRule="auto"/>
        <w:jc w:val="both"/>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tl w:val="0"/>
        </w:rPr>
        <w:t xml:space="preserve">[1] sk 하이닉스의 투자지표 정보</w:t>
      </w:r>
    </w:p>
    <w:p w:rsidR="00000000" w:rsidDel="00000000" w:rsidP="00000000" w:rsidRDefault="00000000" w:rsidRPr="00000000" w14:paraId="0000006A">
      <w:pPr>
        <w:spacing w:line="240" w:lineRule="auto"/>
        <w:jc w:val="both"/>
        <w:rPr>
          <w:rFonts w:ascii="Malgun Gothic" w:cs="Malgun Gothic" w:eastAsia="Malgun Gothic" w:hAnsi="Malgun Gothic"/>
          <w:b w:val="1"/>
          <w:sz w:val="28"/>
          <w:szCs w:val="28"/>
        </w:rPr>
      </w:pPr>
      <w:r w:rsidDel="00000000" w:rsidR="00000000" w:rsidRPr="00000000">
        <w:rPr>
          <w:rtl w:val="0"/>
        </w:rPr>
      </w:r>
    </w:p>
    <w:p w:rsidR="00000000" w:rsidDel="00000000" w:rsidP="00000000" w:rsidRDefault="00000000" w:rsidRPr="00000000" w14:paraId="0000006B">
      <w:pPr>
        <w:spacing w:line="240" w:lineRule="auto"/>
        <w:jc w:val="both"/>
        <w:rPr>
          <w:rFonts w:ascii="Dotumche" w:cs="Dotumche" w:eastAsia="Dotumche" w:hAnsi="Dotumche"/>
          <w:sz w:val="28"/>
          <w:szCs w:val="28"/>
        </w:rPr>
      </w:pPr>
      <w:r w:rsidDel="00000000" w:rsidR="00000000" w:rsidRPr="00000000">
        <w:rPr>
          <w:rtl w:val="0"/>
        </w:rPr>
      </w:r>
    </w:p>
    <w:p w:rsidR="00000000" w:rsidDel="00000000" w:rsidP="00000000" w:rsidRDefault="00000000" w:rsidRPr="00000000" w14:paraId="0000006C">
      <w:pPr>
        <w:spacing w:line="240" w:lineRule="auto"/>
        <w:jc w:val="both"/>
        <w:rPr>
          <w:rFonts w:ascii="Dotumche" w:cs="Dotumche" w:eastAsia="Dotumche" w:hAnsi="Dotumche"/>
          <w:sz w:val="28"/>
          <w:szCs w:val="28"/>
        </w:rPr>
      </w:pPr>
      <w:r w:rsidDel="00000000" w:rsidR="00000000" w:rsidRPr="00000000">
        <w:rPr>
          <w:rFonts w:ascii="Dotumche" w:cs="Dotumche" w:eastAsia="Dotumche" w:hAnsi="Dotumche"/>
          <w:sz w:val="28"/>
          <w:szCs w:val="28"/>
        </w:rPr>
        <w:drawing>
          <wp:inline distB="114300" distT="114300" distL="114300" distR="114300">
            <wp:extent cx="5731200" cy="2552700"/>
            <wp:effectExtent b="0" l="0" r="0" t="0"/>
            <wp:docPr id="58"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jc w:val="both"/>
        <w:rPr>
          <w:rFonts w:ascii="Malgun Gothic" w:cs="Malgun Gothic" w:eastAsia="Malgun Gothic" w:hAnsi="Malgun Gothic"/>
          <w:sz w:val="28"/>
          <w:szCs w:val="28"/>
        </w:rPr>
      </w:pPr>
      <w:r w:rsidDel="00000000" w:rsidR="00000000" w:rsidRPr="00000000">
        <w:rPr>
          <w:rtl w:val="0"/>
        </w:rPr>
      </w:r>
    </w:p>
    <w:p w:rsidR="00000000" w:rsidDel="00000000" w:rsidP="00000000" w:rsidRDefault="00000000" w:rsidRPr="00000000" w14:paraId="0000006E">
      <w:pPr>
        <w:spacing w:line="240" w:lineRule="auto"/>
        <w:ind w:left="72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F">
      <w:pPr>
        <w:numPr>
          <w:ilvl w:val="0"/>
          <w:numId w:val="2"/>
        </w:numPr>
        <w:spacing w:line="240" w:lineRule="auto"/>
        <w:ind w:left="72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DART의 open Api 서비스를 이용해 재무상태표, 손익계산서, 현금흐름표를 참조한다. </w:t>
      </w:r>
    </w:p>
    <w:p w:rsidR="00000000" w:rsidDel="00000000" w:rsidP="00000000" w:rsidRDefault="00000000" w:rsidRPr="00000000" w14:paraId="00000070">
      <w:pPr>
        <w:numPr>
          <w:ilvl w:val="0"/>
          <w:numId w:val="2"/>
        </w:numPr>
        <w:spacing w:line="240" w:lineRule="auto"/>
        <w:ind w:left="72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참조한 데이터를 알맞게 가공하여 안정성 / 수익성 / 성장성 지표 등 투자지표를 도출한다.</w:t>
      </w:r>
    </w:p>
    <w:p w:rsidR="00000000" w:rsidDel="00000000" w:rsidP="00000000" w:rsidRDefault="00000000" w:rsidRPr="00000000" w14:paraId="00000071">
      <w:pPr>
        <w:numPr>
          <w:ilvl w:val="0"/>
          <w:numId w:val="2"/>
        </w:numPr>
        <w:spacing w:line="240" w:lineRule="auto"/>
        <w:ind w:left="72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투자지표를 시각화한 다음,  각 항목끼리의 관계와 연관성을 알아본다.</w:t>
      </w:r>
    </w:p>
    <w:p w:rsidR="00000000" w:rsidDel="00000000" w:rsidP="00000000" w:rsidRDefault="00000000" w:rsidRPr="00000000" w14:paraId="00000072">
      <w:pPr>
        <w:numPr>
          <w:ilvl w:val="0"/>
          <w:numId w:val="2"/>
        </w:numPr>
        <w:spacing w:line="240" w:lineRule="auto"/>
        <w:ind w:left="72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최종적으로, 해당 기업의 과거, 현재의 재무구조를 분석한다.</w:t>
      </w:r>
    </w:p>
    <w:p w:rsidR="00000000" w:rsidDel="00000000" w:rsidP="00000000" w:rsidRDefault="00000000" w:rsidRPr="00000000" w14:paraId="00000073">
      <w:pPr>
        <w:numPr>
          <w:ilvl w:val="0"/>
          <w:numId w:val="2"/>
        </w:numPr>
        <w:spacing w:line="240" w:lineRule="auto"/>
        <w:ind w:left="72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어떤 미래가 펼쳐질지 상상해본다.</w:t>
      </w:r>
    </w:p>
    <w:p w:rsidR="00000000" w:rsidDel="00000000" w:rsidP="00000000" w:rsidRDefault="00000000" w:rsidRPr="00000000" w14:paraId="00000074">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5">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6">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7">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8">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9">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A">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B">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C">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D">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E">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7F">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80">
      <w:pPr>
        <w:spacing w:line="240" w:lineRule="auto"/>
        <w:jc w:val="both"/>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81">
      <w:pPr>
        <w:spacing w:line="240" w:lineRule="auto"/>
        <w:jc w:val="both"/>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tl w:val="0"/>
        </w:rPr>
        <w:t xml:space="preserve">[2] 안정성지표 시각화</w:t>
      </w:r>
    </w:p>
    <w:p w:rsidR="00000000" w:rsidDel="00000000" w:rsidP="00000000" w:rsidRDefault="00000000" w:rsidRPr="00000000" w14:paraId="00000082">
      <w:pPr>
        <w:spacing w:line="240" w:lineRule="auto"/>
        <w:ind w:left="720" w:firstLine="0"/>
        <w:jc w:val="both"/>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83">
      <w:pPr>
        <w:numPr>
          <w:ilvl w:val="0"/>
          <w:numId w:val="6"/>
        </w:numPr>
        <w:spacing w:line="240" w:lineRule="auto"/>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유동비율과 부채비율</w:t>
      </w:r>
    </w:p>
    <w:p w:rsidR="00000000" w:rsidDel="00000000" w:rsidP="00000000" w:rsidRDefault="00000000" w:rsidRPr="00000000" w14:paraId="00000084">
      <w:pPr>
        <w:spacing w:line="240" w:lineRule="auto"/>
        <w:ind w:left="720" w:firstLine="0"/>
        <w:jc w:val="both"/>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085">
      <w:pPr>
        <w:spacing w:line="240" w:lineRule="auto"/>
        <w:jc w:val="cente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5731200" cy="20828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87">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두 그래프의 2011년 ~ 2013년 구간을 보면, 유동비율이 급상승한 구간과 부채비율이 급락한 구간이 같음을 알 수 있다. 이후, 유동비율은 상승, 부채비율은 하강하는 안정적인 모습을 보인다.</w:t>
      </w:r>
    </w:p>
    <w:p w:rsidR="00000000" w:rsidDel="00000000" w:rsidP="00000000" w:rsidRDefault="00000000" w:rsidRPr="00000000" w14:paraId="00000088">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하지만 음영 처리된 부분에 주목해보자. 유동비율이 급락한 기간과 부채비율이 소폭 증가한 기간이 동일함을 볼 수 있다. 유동비율과 부채비율의 연관성을 알아보자</w:t>
      </w:r>
    </w:p>
    <w:p w:rsidR="00000000" w:rsidDel="00000000" w:rsidP="00000000" w:rsidRDefault="00000000" w:rsidRPr="00000000" w14:paraId="00000089">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8A">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8B">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rPr>
        <w:drawing>
          <wp:inline distB="114300" distT="114300" distL="114300" distR="114300">
            <wp:extent cx="5731200" cy="2286000"/>
            <wp:effectExtent b="0" l="0" r="0" t="0"/>
            <wp:docPr id="57"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8D">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유동비율은 기업이 보유한 자산을 팔아서 부채를 상환할 수 있는 능력을 가리키고, 부채비율은 자기자본 대비 부채가 얼마나 있는지 나타낸다. 다양한 경우의 수가 있지만, 유동비율이 증가할 수록 부채에 비해 자산이 많아지게 된다. 증가한 자산 대비 부채의 비율은 지속적으로 감소한다는 사실을 알 수 있다.</w:t>
      </w:r>
    </w:p>
    <w:p w:rsidR="00000000" w:rsidDel="00000000" w:rsidP="00000000" w:rsidRDefault="00000000" w:rsidRPr="00000000" w14:paraId="0000008E">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8F">
      <w:pPr>
        <w:spacing w:line="240" w:lineRule="auto"/>
        <w:jc w:val="both"/>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tl w:val="0"/>
        </w:rPr>
        <w:t xml:space="preserve">[3] 수익성지표 시각화</w:t>
      </w:r>
    </w:p>
    <w:p w:rsidR="00000000" w:rsidDel="00000000" w:rsidP="00000000" w:rsidRDefault="00000000" w:rsidRPr="00000000" w14:paraId="00000090">
      <w:pPr>
        <w:spacing w:line="240" w:lineRule="auto"/>
        <w:ind w:left="720" w:firstLine="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91">
      <w:pPr>
        <w:numPr>
          <w:ilvl w:val="0"/>
          <w:numId w:val="10"/>
        </w:numPr>
        <w:spacing w:line="240" w:lineRule="auto"/>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ROE, ROIC와 당기순이익의 관계</w:t>
      </w:r>
    </w:p>
    <w:p w:rsidR="00000000" w:rsidDel="00000000" w:rsidP="00000000" w:rsidRDefault="00000000" w:rsidRPr="00000000" w14:paraId="00000092">
      <w:pPr>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4320000" cy="2332800"/>
            <wp:effectExtent b="0" l="0" r="0" t="0"/>
            <wp:docPr id="38"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4320000" cy="2332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4">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ROE는 당기순이익을 자기자본으로 나눈 값으로 자기자본 얼마나 많은 이익을 냈는지 나타내는 수익성 지표이다. 당기순이익은 2018년에 비해 2013~2015년이 25% 수준이지만 수익성은 10% 정도 차이를 보인다. 훨씬 더 적은 자본으로 당기순이익을 끌어낸 것으로 해석된다.</w:t>
      </w:r>
    </w:p>
    <w:p w:rsidR="00000000" w:rsidDel="00000000" w:rsidP="00000000" w:rsidRDefault="00000000" w:rsidRPr="00000000" w14:paraId="00000095">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ROE와 달리 ROIC는 영업활동만 따로 고려한 지표이다. 둘 사이 격차가 클수록 회사 내에서 놀고있는 자산이 많다는 뜻이다. 위 그래프를 보면, 하이닉스는 자산(부채+자본)을 잘 이용하는 것 처럼 보인다.</w:t>
      </w:r>
    </w:p>
    <w:p w:rsidR="00000000" w:rsidDel="00000000" w:rsidP="00000000" w:rsidRDefault="00000000" w:rsidRPr="00000000" w14:paraId="00000096">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7">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8">
      <w:pPr>
        <w:numPr>
          <w:ilvl w:val="0"/>
          <w:numId w:val="10"/>
        </w:numPr>
        <w:spacing w:line="240" w:lineRule="auto"/>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ROE, ROIC와 자본총계의 관계</w:t>
      </w:r>
    </w:p>
    <w:p w:rsidR="00000000" w:rsidDel="00000000" w:rsidP="00000000" w:rsidRDefault="00000000" w:rsidRPr="00000000" w14:paraId="00000099">
      <w:pPr>
        <w:spacing w:line="240" w:lineRule="auto"/>
        <w:jc w:val="center"/>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Pr>
        <w:drawing>
          <wp:inline distB="114300" distT="114300" distL="114300" distR="114300">
            <wp:extent cx="4320000" cy="2376000"/>
            <wp:effectExtent b="0" l="0" r="0" t="0"/>
            <wp:docPr id="44"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4320000" cy="2376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9B">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위 그래프의 자본총계는 점차 증가하지만 (1) 그래프의 당기순이익은 증/감을 반복한다. 결국 ROE와 ROIC는 꾸준한 자본 증가 속에 당기순이익의 증/감을 따라간다.</w:t>
      </w:r>
    </w:p>
    <w:p w:rsidR="00000000" w:rsidDel="00000000" w:rsidP="00000000" w:rsidRDefault="00000000" w:rsidRPr="00000000" w14:paraId="0000009C">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D">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9E">
      <w:pPr>
        <w:numPr>
          <w:ilvl w:val="0"/>
          <w:numId w:val="10"/>
        </w:numPr>
        <w:spacing w:line="240" w:lineRule="auto"/>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영업이익률과 매출액의 관계</w:t>
      </w:r>
    </w:p>
    <w:p w:rsidR="00000000" w:rsidDel="00000000" w:rsidP="00000000" w:rsidRDefault="00000000" w:rsidRPr="00000000" w14:paraId="0000009F">
      <w:pPr>
        <w:spacing w:line="240" w:lineRule="auto"/>
        <w:ind w:left="720" w:firstLine="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A0">
      <w:pP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5040000" cy="2671200"/>
            <wp:effectExtent b="0" l="0" r="0" t="0"/>
            <wp:docPr id="54"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5040000" cy="2671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2">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2018년 실적대비 2019년의 매출은 큰 폭으로 하락한 것을 볼 수 있다. 당시 글로벌 무역갈등으로 세계 경제의 불확실성이 확대됐고, 수요 둔화와 가격 하락이 이어져 경영실적이 전년대비 감소했다. </w:t>
      </w:r>
    </w:p>
    <w:p w:rsidR="00000000" w:rsidDel="00000000" w:rsidP="00000000" w:rsidRDefault="00000000" w:rsidRPr="00000000" w14:paraId="000000A3">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4">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5">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6">
      <w:pPr>
        <w:numPr>
          <w:ilvl w:val="0"/>
          <w:numId w:val="10"/>
        </w:numPr>
        <w:spacing w:line="240" w:lineRule="auto"/>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ROE 정규분포</w:t>
      </w:r>
    </w:p>
    <w:p w:rsidR="00000000" w:rsidDel="00000000" w:rsidP="00000000" w:rsidRDefault="00000000" w:rsidRPr="00000000" w14:paraId="000000A7">
      <w:pPr>
        <w:spacing w:line="240" w:lineRule="auto"/>
        <w:ind w:left="720" w:firstLine="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A8">
      <w:pP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3790950" cy="2628900"/>
            <wp:effectExtent b="0" l="0" r="0" t="0"/>
            <wp:docPr id="48"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37909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r w:rsidDel="00000000" w:rsidR="00000000" w:rsidRPr="00000000">
        <w:rPr>
          <w:rFonts w:ascii="Malgun Gothic" w:cs="Malgun Gothic" w:eastAsia="Malgun Gothic" w:hAnsi="Malgun Gothic"/>
          <w:b w:val="1"/>
          <w:sz w:val="18"/>
          <w:szCs w:val="18"/>
          <w:u w:val="single"/>
          <w:rtl w:val="0"/>
        </w:rPr>
        <w:t xml:space="preserve">워렌버핏 왈. ROE 15% 이상을 꾸준하게 유지하는 회사는 투자 가치가 있다.</w:t>
      </w: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AA">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정규분포 그래프를 살펴보면 15%에 종 모양이 형성되어 있다. 하지만 글로벌 반도체 시장의 급격한 변화로 인해 15% 미만의 수치도 다수 분포해 있는 모습을 보인다.</w:t>
      </w:r>
    </w:p>
    <w:p w:rsidR="00000000" w:rsidDel="00000000" w:rsidP="00000000" w:rsidRDefault="00000000" w:rsidRPr="00000000" w14:paraId="000000AB">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C">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D">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AE">
      <w:pPr>
        <w:spacing w:line="240" w:lineRule="auto"/>
        <w:jc w:val="both"/>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tl w:val="0"/>
        </w:rPr>
        <w:t xml:space="preserve">[6] 성장성지표 시각화</w:t>
      </w:r>
    </w:p>
    <w:p w:rsidR="00000000" w:rsidDel="00000000" w:rsidP="00000000" w:rsidRDefault="00000000" w:rsidRPr="00000000" w14:paraId="000000AF">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0">
      <w:pPr>
        <w:numPr>
          <w:ilvl w:val="0"/>
          <w:numId w:val="17"/>
        </w:numPr>
        <w:spacing w:line="240" w:lineRule="auto"/>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매출액 증가율, 자기자본 증가율과 ROE의 관계</w:t>
      </w:r>
      <w:r w:rsidDel="00000000" w:rsidR="00000000" w:rsidRPr="00000000">
        <w:rPr>
          <w:rtl w:val="0"/>
        </w:rPr>
      </w:r>
    </w:p>
    <w:p w:rsidR="00000000" w:rsidDel="00000000" w:rsidP="00000000" w:rsidRDefault="00000000" w:rsidRPr="00000000" w14:paraId="000000B1">
      <w:pPr>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4680000" cy="2437010"/>
            <wp:effectExtent b="0" l="0" r="0" t="0"/>
            <wp:docPr id="49"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4680000" cy="243701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3">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2018년 매출액 증가율은 감소했지만, 오히려 ROE는 소폭 증가했다. 이는 여러 이유 중, 하이닉스의 주력 상품인 DRAM의 출하량이 전기보다 감소하고 판매가격이 떨어지며 나타난 현상으로 보인다. 그렇지만, 2020년 2세대 DRAM을 출시하며 모든 지표가 상승세를 보인다.</w:t>
      </w:r>
    </w:p>
    <w:p w:rsidR="00000000" w:rsidDel="00000000" w:rsidP="00000000" w:rsidRDefault="00000000" w:rsidRPr="00000000" w14:paraId="000000B4">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5">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6">
      <w:pPr>
        <w:spacing w:line="240" w:lineRule="auto"/>
        <w:jc w:val="both"/>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tl w:val="0"/>
        </w:rPr>
        <w:t xml:space="preserve">[7] 분석 및 예측</w:t>
      </w:r>
    </w:p>
    <w:p w:rsidR="00000000" w:rsidDel="00000000" w:rsidP="00000000" w:rsidRDefault="00000000" w:rsidRPr="00000000" w14:paraId="000000B7">
      <w:pPr>
        <w:spacing w:line="240" w:lineRule="auto"/>
        <w:jc w:val="both"/>
        <w:rPr>
          <w:rFonts w:ascii="Malgun Gothic" w:cs="Malgun Gothic" w:eastAsia="Malgun Gothic" w:hAnsi="Malgun Gothic"/>
          <w:b w:val="1"/>
          <w:sz w:val="28"/>
          <w:szCs w:val="28"/>
        </w:rPr>
      </w:pPr>
      <w:r w:rsidDel="00000000" w:rsidR="00000000" w:rsidRPr="00000000">
        <w:rPr>
          <w:rtl w:val="0"/>
        </w:rPr>
      </w:r>
    </w:p>
    <w:p w:rsidR="00000000" w:rsidDel="00000000" w:rsidP="00000000" w:rsidRDefault="00000000" w:rsidRPr="00000000" w14:paraId="000000B8">
      <w:pPr>
        <w:numPr>
          <w:ilvl w:val="0"/>
          <w:numId w:val="13"/>
        </w:numPr>
        <w:spacing w:line="240" w:lineRule="auto"/>
        <w:ind w:left="72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과거</w:t>
      </w:r>
    </w:p>
    <w:p w:rsidR="00000000" w:rsidDel="00000000" w:rsidP="00000000" w:rsidRDefault="00000000" w:rsidRPr="00000000" w14:paraId="000000B9">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10년 전, 반도체 기술의 발전으로 급격한 매출액 상승과 더불어 자본이 증가했다. 하지만 반도체의 글로벌 경쟁과 미국-중국 무역 전쟁등으로 2017년, 2018년의 호황기는 막을 내리게되었다.</w:t>
      </w:r>
    </w:p>
    <w:p w:rsidR="00000000" w:rsidDel="00000000" w:rsidP="00000000" w:rsidRDefault="00000000" w:rsidRPr="00000000" w14:paraId="000000BA">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B">
      <w:pPr>
        <w:numPr>
          <w:ilvl w:val="0"/>
          <w:numId w:val="13"/>
        </w:numPr>
        <w:spacing w:line="240" w:lineRule="auto"/>
        <w:ind w:left="72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현재</w:t>
      </w:r>
    </w:p>
    <w:p w:rsidR="00000000" w:rsidDel="00000000" w:rsidP="00000000" w:rsidRDefault="00000000" w:rsidRPr="00000000" w14:paraId="000000BC">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글로벌 경쟁과 급격히 변화하는 소비심리로 인해 불안했지만, 3세대 DRAM 개발로 인해 반등하는 모습을 보인다.</w:t>
      </w:r>
    </w:p>
    <w:p w:rsidR="00000000" w:rsidDel="00000000" w:rsidP="00000000" w:rsidRDefault="00000000" w:rsidRPr="00000000" w14:paraId="000000BD">
      <w:pPr>
        <w:spacing w:line="240" w:lineRule="auto"/>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E">
      <w:pPr>
        <w:numPr>
          <w:ilvl w:val="0"/>
          <w:numId w:val="13"/>
        </w:numPr>
        <w:spacing w:line="240" w:lineRule="auto"/>
        <w:ind w:left="72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미래</w:t>
      </w:r>
    </w:p>
    <w:p w:rsidR="00000000" w:rsidDel="00000000" w:rsidP="00000000" w:rsidRDefault="00000000" w:rsidRPr="00000000" w14:paraId="000000BF">
      <w:pPr>
        <w:spacing w:line="240" w:lineRule="auto"/>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4차 산업 혁명의 인공지능(AI) 역시 하이닉스의 주력인 DRAM의 큰 수요처가 된다. 게다가 최근 하이닉스는 4세대 DRAM인 ‘HBM3’를 개발하며 미래의 경영 실적이 더욱 주목된다.</w:t>
      </w: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widowControl w:val="0"/>
        <w:spacing w:line="240" w:lineRule="auto"/>
        <w:jc w:val="center"/>
        <w:rPr/>
      </w:pPr>
      <w:bookmarkStart w:colFirst="0" w:colLast="0" w:name="_ce6626qkxzw9" w:id="13"/>
      <w:bookmarkEnd w:id="13"/>
      <w:r w:rsidDel="00000000" w:rsidR="00000000" w:rsidRPr="00000000">
        <w:rPr>
          <w:rFonts w:ascii="Arial Unicode MS" w:cs="Arial Unicode MS" w:eastAsia="Arial Unicode MS" w:hAnsi="Arial Unicode MS"/>
          <w:rtl w:val="0"/>
        </w:rPr>
        <w:t xml:space="preserve">DB하이텍 보고서</w:t>
      </w:r>
    </w:p>
    <w:p w:rsidR="00000000" w:rsidDel="00000000" w:rsidP="00000000" w:rsidRDefault="00000000" w:rsidRPr="00000000" w14:paraId="000000C1">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2274459" cy="841076"/>
            <wp:effectExtent b="0" l="0" r="0" t="0"/>
            <wp:docPr id="59"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2274459" cy="84107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numPr>
          <w:ilvl w:val="0"/>
          <w:numId w:val="16"/>
        </w:numPr>
        <w:spacing w:line="240" w:lineRule="auto"/>
        <w:ind w:left="76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기업지표(단위:%)</w:t>
      </w:r>
    </w:p>
    <w:p w:rsidR="00000000" w:rsidDel="00000000" w:rsidP="00000000" w:rsidRDefault="00000000" w:rsidRPr="00000000" w14:paraId="000000C3">
      <w:pPr>
        <w:widowControl w:val="0"/>
        <w:spacing w:line="240" w:lineRule="auto"/>
        <w:ind w:left="16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731200" cy="2159000"/>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line="240" w:lineRule="auto"/>
        <w:ind w:left="36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2011년부터 2020년까지 기업의 10년치 재무제표를 통해 기업 분석을 위한 파생 지표를 도출하였습니다. 위의 표를 참조하여 기업의 안정성(유동비율, 부채비율), 수익성(ROE, ROIC, 영업이익률), 성장성(매출액증가율, 자기자본증가율) 추세를 살펴보도록 하겠습니다. </w:t>
      </w:r>
    </w:p>
    <w:p w:rsidR="00000000" w:rsidDel="00000000" w:rsidP="00000000" w:rsidRDefault="00000000" w:rsidRPr="00000000" w14:paraId="000000C5">
      <w:pPr>
        <w:widowControl w:val="0"/>
        <w:spacing w:line="240" w:lineRule="auto"/>
        <w:ind w:left="36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6">
      <w:pPr>
        <w:widowControl w:val="0"/>
        <w:spacing w:line="240" w:lineRule="auto"/>
        <w:ind w:left="36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7">
      <w:pPr>
        <w:widowControl w:val="0"/>
        <w:spacing w:line="240" w:lineRule="auto"/>
        <w:ind w:left="36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8">
      <w:pPr>
        <w:widowControl w:val="0"/>
        <w:numPr>
          <w:ilvl w:val="0"/>
          <w:numId w:val="16"/>
        </w:numPr>
        <w:spacing w:line="240" w:lineRule="auto"/>
        <w:ind w:left="76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안정성 : 유동비율과 부채비율</w:t>
      </w:r>
    </w:p>
    <w:p w:rsidR="00000000" w:rsidDel="00000000" w:rsidP="00000000" w:rsidRDefault="00000000" w:rsidRPr="00000000" w14:paraId="000000C9">
      <w:pPr>
        <w:widowControl w:val="0"/>
        <w:spacing w:line="240" w:lineRule="auto"/>
        <w:ind w:left="40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731200" cy="2501900"/>
            <wp:effectExtent b="0" l="0" r="0" t="0"/>
            <wp:docPr id="55"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Wingdings" w:cs="Wingdings" w:eastAsia="Wingdings" w:hAnsi="Wingdings"/>
          <w:sz w:val="20"/>
          <w:szCs w:val="20"/>
          <w:rtl w:val="0"/>
        </w:rPr>
        <w:t xml:space="preserve">▪</w:t>
      </w:r>
      <w:r w:rsidDel="00000000" w:rsidR="00000000" w:rsidRPr="00000000">
        <w:rPr>
          <w:rFonts w:ascii="Malgun Gothic" w:cs="Malgun Gothic" w:eastAsia="Malgun Gothic" w:hAnsi="Malgun Gothic"/>
          <w:sz w:val="20"/>
          <w:szCs w:val="20"/>
          <w:rtl w:val="0"/>
        </w:rPr>
        <w:t xml:space="preserve"> 유동비율 : 기업이 보유하는 지급능력. 비율이 클수록 기업의 재무 유동성이 크다.</w:t>
      </w:r>
    </w:p>
    <w:p w:rsidR="00000000" w:rsidDel="00000000" w:rsidP="00000000" w:rsidRDefault="00000000" w:rsidRPr="00000000" w14:paraId="000000CB">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Wingdings" w:cs="Wingdings" w:eastAsia="Wingdings" w:hAnsi="Wingdings"/>
          <w:sz w:val="20"/>
          <w:szCs w:val="20"/>
          <w:rtl w:val="0"/>
        </w:rPr>
        <w:t xml:space="preserve">▪</w:t>
      </w:r>
      <w:r w:rsidDel="00000000" w:rsidR="00000000" w:rsidRPr="00000000">
        <w:rPr>
          <w:rFonts w:ascii="Malgun Gothic" w:cs="Malgun Gothic" w:eastAsia="Malgun Gothic" w:hAnsi="Malgun Gothic"/>
          <w:sz w:val="20"/>
          <w:szCs w:val="20"/>
          <w:rtl w:val="0"/>
        </w:rPr>
        <w:t xml:space="preserve"> 부채비율 : 기업이 갖고 있는 자산 중 부채가 얼마정도 차지하는지 비율.</w:t>
      </w:r>
    </w:p>
    <w:p w:rsidR="00000000" w:rsidDel="00000000" w:rsidP="00000000" w:rsidRDefault="00000000" w:rsidRPr="00000000" w14:paraId="000000CC">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부채비율의 변동 폭이 매우 큽니다. 2014년, 부채비율이 무려 700%를 넘어서는 극심한 자금난에 허덕이다가 다음해부터 부채비율이 상당히 감소됐고, 꾸준히 하향추세를 보이고 있습니다. 유동비율 또한 2014년까지 저조했지만 이후로 100%를 넘겨 재무구조가 상당히 개선되었습니다. 부채비율은 줄이고 유동비율은 늘어나는 이상적인 모습을 보이고 있습니다. </w:t>
      </w:r>
    </w:p>
    <w:p w:rsidR="00000000" w:rsidDel="00000000" w:rsidP="00000000" w:rsidRDefault="00000000" w:rsidRPr="00000000" w14:paraId="000000CD">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E">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F">
      <w:pPr>
        <w:widowControl w:val="0"/>
        <w:numPr>
          <w:ilvl w:val="0"/>
          <w:numId w:val="16"/>
        </w:numPr>
        <w:spacing w:line="240" w:lineRule="auto"/>
        <w:ind w:left="76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수익성 : ROE와 ROIC</w:t>
      </w:r>
    </w:p>
    <w:p w:rsidR="00000000" w:rsidDel="00000000" w:rsidP="00000000" w:rsidRDefault="00000000" w:rsidRPr="00000000" w14:paraId="000000D0">
      <w:pPr>
        <w:widowControl w:val="0"/>
        <w:spacing w:line="240" w:lineRule="auto"/>
        <w:ind w:left="40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731200" cy="2527300"/>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Wingdings" w:cs="Wingdings" w:eastAsia="Wingdings" w:hAnsi="Wingdings"/>
          <w:sz w:val="20"/>
          <w:szCs w:val="20"/>
          <w:rtl w:val="0"/>
        </w:rPr>
        <w:t xml:space="preserve">▪</w:t>
      </w:r>
      <w:r w:rsidDel="00000000" w:rsidR="00000000" w:rsidRPr="00000000">
        <w:rPr>
          <w:rFonts w:ascii="Malgun Gothic" w:cs="Malgun Gothic" w:eastAsia="Malgun Gothic" w:hAnsi="Malgun Gothic"/>
          <w:sz w:val="20"/>
          <w:szCs w:val="20"/>
          <w:rtl w:val="0"/>
        </w:rPr>
        <w:t xml:space="preserve"> ROE : 투입한 자기자본이 얼마만큼의 이익을 냈는지를 보는 지표.</w:t>
      </w:r>
    </w:p>
    <w:p w:rsidR="00000000" w:rsidDel="00000000" w:rsidP="00000000" w:rsidRDefault="00000000" w:rsidRPr="00000000" w14:paraId="000000D2">
      <w:pPr>
        <w:widowControl w:val="0"/>
        <w:spacing w:line="240" w:lineRule="auto"/>
        <w:ind w:left="2800" w:hanging="2400"/>
        <w:jc w:val="both"/>
        <w:rPr>
          <w:rFonts w:ascii="Malgun Gothic" w:cs="Malgun Gothic" w:eastAsia="Malgun Gothic" w:hAnsi="Malgun Gothic"/>
          <w:sz w:val="20"/>
          <w:szCs w:val="20"/>
        </w:rPr>
      </w:pPr>
      <w:r w:rsidDel="00000000" w:rsidR="00000000" w:rsidRPr="00000000">
        <w:rPr>
          <w:rFonts w:ascii="Wingdings" w:cs="Wingdings" w:eastAsia="Wingdings" w:hAnsi="Wingdings"/>
          <w:sz w:val="20"/>
          <w:szCs w:val="20"/>
          <w:rtl w:val="0"/>
        </w:rPr>
        <w:t xml:space="preserve">▪</w:t>
      </w:r>
      <w:r w:rsidDel="00000000" w:rsidR="00000000" w:rsidRPr="00000000">
        <w:rPr>
          <w:rFonts w:ascii="Malgun Gothic" w:cs="Malgun Gothic" w:eastAsia="Malgun Gothic" w:hAnsi="Malgun Gothic"/>
          <w:sz w:val="20"/>
          <w:szCs w:val="20"/>
          <w:rtl w:val="0"/>
        </w:rPr>
        <w:t xml:space="preserve"> ROIC : 기업이 실제 영업활동에 투입한 자산으로 영업이익을 얼마나 거뒀는지 나타내는 지표.</w:t>
      </w:r>
    </w:p>
    <w:p w:rsidR="00000000" w:rsidDel="00000000" w:rsidP="00000000" w:rsidRDefault="00000000" w:rsidRPr="00000000" w14:paraId="000000D3">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먼저 ROE를 살펴보면 2014년까지 적자가 지속되다가 빠르게 회복되어 20%안팎을 유지하고 있습니다. ROIC의 경우 산출공식에 필요한 데이터를 찾아낼 수 없어 유사 값을 얻을 수 있는 대체 공식을 사용하였고 결과는 기업에서 제공하는 재무실적과 근접하게 나왔습니다. 마찬가지로 2015년부터 20%안팎을 오고 가며 꾸준히 수익을 내는 것으로 보입니다.  </w:t>
      </w:r>
    </w:p>
    <w:p w:rsidR="00000000" w:rsidDel="00000000" w:rsidP="00000000" w:rsidRDefault="00000000" w:rsidRPr="00000000" w14:paraId="000000D4">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5">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6">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7">
      <w:pPr>
        <w:widowControl w:val="0"/>
        <w:numPr>
          <w:ilvl w:val="0"/>
          <w:numId w:val="16"/>
        </w:numPr>
        <w:spacing w:line="240" w:lineRule="auto"/>
        <w:ind w:left="76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b w:val="1"/>
          <w:sz w:val="20"/>
          <w:szCs w:val="20"/>
          <w:rtl w:val="0"/>
        </w:rPr>
        <w:t xml:space="preserve">수익성 : ROE의 정규분포</w:t>
      </w:r>
      <w:r w:rsidDel="00000000" w:rsidR="00000000" w:rsidRPr="00000000">
        <w:rPr>
          <w:rtl w:val="0"/>
        </w:rPr>
      </w:r>
    </w:p>
    <w:p w:rsidR="00000000" w:rsidDel="00000000" w:rsidP="00000000" w:rsidRDefault="00000000" w:rsidRPr="00000000" w14:paraId="000000D8">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4019550" cy="2590800"/>
            <wp:effectExtent b="0" l="0" r="0" t="0"/>
            <wp:docPr id="1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0195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높은 수치에서 종모양의 분포도가 나오면 안정적으로 높은 수익을 내는 것을 의미하지만, DB하이텍의 경우 15년도 전후로 수익의 편차가 심해 분포도가 넓습니다. ROE는 분포가 가장 많은 구간이 약 20%라 높은 수익성을 갖고 있는 것으로 보이지만 음수 쪽에도 상당 부분 분포하고 있어 이후로도 높은 수익성이 유지될지는 미지수입니다.</w:t>
      </w:r>
    </w:p>
    <w:p w:rsidR="00000000" w:rsidDel="00000000" w:rsidP="00000000" w:rsidRDefault="00000000" w:rsidRPr="00000000" w14:paraId="000000DA">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B">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C">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D">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DE">
      <w:pPr>
        <w:widowControl w:val="0"/>
        <w:numPr>
          <w:ilvl w:val="0"/>
          <w:numId w:val="16"/>
        </w:numPr>
        <w:spacing w:line="240" w:lineRule="auto"/>
        <w:ind w:left="76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수익성 : 영업이익률</w:t>
      </w:r>
    </w:p>
    <w:p w:rsidR="00000000" w:rsidDel="00000000" w:rsidP="00000000" w:rsidRDefault="00000000" w:rsidRPr="00000000" w14:paraId="000000DF">
      <w:pPr>
        <w:widowControl w:val="0"/>
        <w:spacing w:line="240" w:lineRule="auto"/>
        <w:ind w:left="40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731200" cy="2679700"/>
            <wp:effectExtent b="0" l="0" r="0" t="0"/>
            <wp:docPr id="3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Wingdings" w:cs="Wingdings" w:eastAsia="Wingdings" w:hAnsi="Wingdings"/>
          <w:sz w:val="20"/>
          <w:szCs w:val="20"/>
          <w:rtl w:val="0"/>
        </w:rPr>
        <w:t xml:space="preserve">▪</w:t>
      </w:r>
      <w:r w:rsidDel="00000000" w:rsidR="00000000" w:rsidRPr="00000000">
        <w:rPr>
          <w:rFonts w:ascii="Malgun Gothic" w:cs="Malgun Gothic" w:eastAsia="Malgun Gothic" w:hAnsi="Malgun Gothic"/>
          <w:sz w:val="20"/>
          <w:szCs w:val="20"/>
          <w:rtl w:val="0"/>
        </w:rPr>
        <w:t xml:space="preserve"> 영업이익률 : 매출액에 대한 영업이익 비율. 영업활동의 수익성</w:t>
      </w:r>
    </w:p>
    <w:p w:rsidR="00000000" w:rsidDel="00000000" w:rsidP="00000000" w:rsidRDefault="00000000" w:rsidRPr="00000000" w14:paraId="000000E1">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적자에 시달리던 DB하이텍은 14년도에 흑자전환에 성공하고 이후로 꾸준한 성장세를 보입니다. 당시에 DB하이텍의 주력상품인 시스템반도체의 생산량 증가와 함께 어닝서프라이즈를 기록한 이후로 영업 이익은 계속해서 흑자를 유지하고 있습니다. 잠시 하락하더라도 계속해서 15%이상의 이익률을 내고 있어 어느정도 실적 호조세 궤도에 진입한 것으로 보입니다.</w:t>
      </w:r>
    </w:p>
    <w:p w:rsidR="00000000" w:rsidDel="00000000" w:rsidP="00000000" w:rsidRDefault="00000000" w:rsidRPr="00000000" w14:paraId="000000E2">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3">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4">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5">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6">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7">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8">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9">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A">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B">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C">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D">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E">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EF">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F0">
      <w:pPr>
        <w:widowControl w:val="0"/>
        <w:numPr>
          <w:ilvl w:val="0"/>
          <w:numId w:val="16"/>
        </w:numPr>
        <w:spacing w:line="240" w:lineRule="auto"/>
        <w:ind w:left="76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성장성 : 매출액증가율 및 자기자본증가율</w:t>
      </w:r>
    </w:p>
    <w:p w:rsidR="00000000" w:rsidDel="00000000" w:rsidP="00000000" w:rsidRDefault="00000000" w:rsidRPr="00000000" w14:paraId="000000F1">
      <w:pPr>
        <w:widowControl w:val="0"/>
        <w:spacing w:line="240" w:lineRule="auto"/>
        <w:ind w:left="200" w:firstLine="0"/>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731200" cy="2527300"/>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매출액증가율 : 매출액이 당해 연도에 얼마나 증가하였는가를 표시하는 지표.</w:t>
      </w:r>
    </w:p>
    <w:p w:rsidR="00000000" w:rsidDel="00000000" w:rsidP="00000000" w:rsidRDefault="00000000" w:rsidRPr="00000000" w14:paraId="000000F3">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자기자본 증가율 : 자기자본이 당해 연도에 얼마나 증가하였는가를 표시하는 지표.</w:t>
      </w:r>
    </w:p>
    <w:p w:rsidR="00000000" w:rsidDel="00000000" w:rsidP="00000000" w:rsidRDefault="00000000" w:rsidRPr="00000000" w14:paraId="000000F4">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매출액증가율은 기복이 심한 모습을 보입니다. 20%가 넘는 성장세를 보이기도 했지만, 과연 꾸준히 성장세를 이어갈 수 있을 것인가는 확실치 않습니다. 자기자본증가율은 15년도에 대폭 상승하여 꾸준히 성장세를 유지하고 있습니다. </w:t>
      </w:r>
    </w:p>
    <w:p w:rsidR="00000000" w:rsidDel="00000000" w:rsidP="00000000" w:rsidRDefault="00000000" w:rsidRPr="00000000" w14:paraId="000000F5">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w:t>
      </w:r>
    </w:p>
    <w:p w:rsidR="00000000" w:rsidDel="00000000" w:rsidP="00000000" w:rsidRDefault="00000000" w:rsidRPr="00000000" w14:paraId="000000F6">
      <w:pPr>
        <w:spacing w:line="240" w:lineRule="auto"/>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F7">
      <w:pPr>
        <w:widowControl w:val="0"/>
        <w:numPr>
          <w:ilvl w:val="0"/>
          <w:numId w:val="16"/>
        </w:numPr>
        <w:spacing w:line="240" w:lineRule="auto"/>
        <w:ind w:left="760" w:hanging="360"/>
        <w:jc w:val="both"/>
        <w:rPr>
          <w:rFonts w:ascii="Malgun Gothic" w:cs="Malgun Gothic" w:eastAsia="Malgun Gothic" w:hAnsi="Malgun Gothic"/>
          <w:b w:val="1"/>
          <w:sz w:val="20"/>
          <w:szCs w:val="20"/>
        </w:rPr>
      </w:pPr>
      <w:r w:rsidDel="00000000" w:rsidR="00000000" w:rsidRPr="00000000">
        <w:rPr>
          <w:rFonts w:ascii="Malgun Gothic" w:cs="Malgun Gothic" w:eastAsia="Malgun Gothic" w:hAnsi="Malgun Gothic"/>
          <w:b w:val="1"/>
          <w:sz w:val="20"/>
          <w:szCs w:val="20"/>
          <w:rtl w:val="0"/>
        </w:rPr>
        <w:t xml:space="preserve">결론</w:t>
      </w:r>
    </w:p>
    <w:p w:rsidR="00000000" w:rsidDel="00000000" w:rsidP="00000000" w:rsidRDefault="00000000" w:rsidRPr="00000000" w14:paraId="000000F8">
      <w:pPr>
        <w:widowControl w:val="0"/>
        <w:spacing w:line="240" w:lineRule="auto"/>
        <w:ind w:left="20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DB하이텍의 수익성은 14년도를 기준으로 나뉩니다. 이전까지 극심한 적자에 시달리다가 흑자 전환에 성공하면서 안정성도 확보되었습니다. 지표의 대부분이 15년도부터 성장세를 이어오고 있습니다. 부채비율은 계속해서 줄어들고 자기자본은 늘어나는 것을 보면 재무구조 개선에 힘썼다는 것을 확인할 수 있습니다. 매출액이 매해 승승장구하는 것은 아니지만 금방 회복하고 있습니다.  DB하이텍의 경우 시스템반도체를 전문으로 하는 기업이기에 시스템 반도체 수요 증가에 따라 당분간은 성장세를 유지할 것으로 추측됩니다. </w:t>
      </w:r>
    </w:p>
    <w:p w:rsidR="00000000" w:rsidDel="00000000" w:rsidP="00000000" w:rsidRDefault="00000000" w:rsidRPr="00000000" w14:paraId="000000F9">
      <w:pPr>
        <w:spacing w:line="240" w:lineRule="auto"/>
        <w:rPr>
          <w:rFonts w:ascii="Malgun Gothic" w:cs="Malgun Gothic" w:eastAsia="Malgun Gothic" w:hAnsi="Malgun Gothic"/>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A">
      <w:pPr>
        <w:widowControl w:val="0"/>
        <w:spacing w:line="240" w:lineRule="auto"/>
        <w:ind w:left="20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추가.</w:t>
      </w:r>
    </w:p>
    <w:p w:rsidR="00000000" w:rsidDel="00000000" w:rsidP="00000000" w:rsidRDefault="00000000" w:rsidRPr="00000000" w14:paraId="000000FB">
      <w:pPr>
        <w:widowControl w:val="0"/>
        <w:spacing w:line="240" w:lineRule="auto"/>
        <w:ind w:left="20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삼성, sk하이닉스, db하이텍 파생지표 비교</w:t>
      </w:r>
    </w:p>
    <w:p w:rsidR="00000000" w:rsidDel="00000000" w:rsidP="00000000" w:rsidRDefault="00000000" w:rsidRPr="00000000" w14:paraId="000000FC">
      <w:pPr>
        <w:widowControl w:val="0"/>
        <w:numPr>
          <w:ilvl w:val="0"/>
          <w:numId w:val="18"/>
        </w:numPr>
        <w:spacing w:line="240" w:lineRule="auto"/>
        <w:ind w:left="76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유동비율</w:t>
      </w:r>
    </w:p>
    <w:p w:rsidR="00000000" w:rsidDel="00000000" w:rsidP="00000000" w:rsidRDefault="00000000" w:rsidRPr="00000000" w14:paraId="000000FD">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479342" cy="3259923"/>
            <wp:effectExtent b="0" l="0" r="0" t="0"/>
            <wp:docPr id="42"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479342" cy="325992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line="240" w:lineRule="auto"/>
        <w:ind w:left="400" w:firstLine="20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3사 모두 전체적으로 우상향의 추세를 보입니다. 10년동안 안정적인 유동자산을 보유한 삼성과 SK하이닉스와는 달리 DB하이텍은 큰 상승폭을 갖고 있습니다. 보통 200%가 이상적이라고 하는데 삼성은 오랫동안 200%가 넘는 수치를 유지해왔고 SK하이닉스와 DB하이텍은 다소 기복이 있는 편입니다. </w:t>
      </w:r>
    </w:p>
    <w:p w:rsidR="00000000" w:rsidDel="00000000" w:rsidP="00000000" w:rsidRDefault="00000000" w:rsidRPr="00000000" w14:paraId="000000FF">
      <w:pPr>
        <w:widowControl w:val="0"/>
        <w:spacing w:line="240" w:lineRule="auto"/>
        <w:ind w:left="76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00">
      <w:pPr>
        <w:widowControl w:val="0"/>
        <w:numPr>
          <w:ilvl w:val="0"/>
          <w:numId w:val="18"/>
        </w:numPr>
        <w:spacing w:line="240" w:lineRule="auto"/>
        <w:ind w:left="76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부채비율</w:t>
      </w:r>
    </w:p>
    <w:p w:rsidR="00000000" w:rsidDel="00000000" w:rsidP="00000000" w:rsidRDefault="00000000" w:rsidRPr="00000000" w14:paraId="00000101">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731200" cy="3225800"/>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pacing w:line="240" w:lineRule="auto"/>
        <w:ind w:left="6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2014년까지 DB하이텍의 부채비율이 3사 중 독보적으로 많기 때문에 DB하이텍만 y축을 따로 설정하였습니다. 모두 우하향의 추세이며 부채비율이 상승하더라도 변동 폭이 미미하여 전체적으로 안정적인 재무구조를 유지하는듯 합니다. </w:t>
      </w:r>
    </w:p>
    <w:p w:rsidR="00000000" w:rsidDel="00000000" w:rsidP="00000000" w:rsidRDefault="00000000" w:rsidRPr="00000000" w14:paraId="00000103">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04">
      <w:pPr>
        <w:widowControl w:val="0"/>
        <w:numPr>
          <w:ilvl w:val="0"/>
          <w:numId w:val="18"/>
        </w:numPr>
        <w:spacing w:line="240" w:lineRule="auto"/>
        <w:ind w:left="76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ROE</w:t>
      </w:r>
    </w:p>
    <w:p w:rsidR="00000000" w:rsidDel="00000000" w:rsidP="00000000" w:rsidRDefault="00000000" w:rsidRPr="00000000" w14:paraId="00000105">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482780" cy="3261968"/>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482780" cy="326196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240" w:lineRule="auto"/>
        <w:ind w:left="40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삼성은 거의 일정한 수익을 내고 있습니다. DB하이텍도 15년도의 큰 상승이후로 비슷하게 유지하고 있는 반면 SK하이닉스는 최근에 크게 하락한 것을 볼 수 있습니다. 다음 해에 상승하긴 했지만 전년도 하락세에 비해 부진한 상승입니다.  </w:t>
      </w:r>
    </w:p>
    <w:p w:rsidR="00000000" w:rsidDel="00000000" w:rsidP="00000000" w:rsidRDefault="00000000" w:rsidRPr="00000000" w14:paraId="00000107">
      <w:pPr>
        <w:widowControl w:val="0"/>
        <w:spacing w:line="240" w:lineRule="auto"/>
        <w:ind w:left="4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08">
      <w:pPr>
        <w:widowControl w:val="0"/>
        <w:numPr>
          <w:ilvl w:val="0"/>
          <w:numId w:val="18"/>
        </w:numPr>
        <w:spacing w:line="240" w:lineRule="auto"/>
        <w:ind w:left="76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영업이익률 </w:t>
      </w:r>
    </w:p>
    <w:p w:rsidR="00000000" w:rsidDel="00000000" w:rsidP="00000000" w:rsidRDefault="00000000" w:rsidRPr="00000000" w14:paraId="00000109">
      <w:pPr>
        <w:widowControl w:val="0"/>
        <w:spacing w:line="240" w:lineRule="auto"/>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456617" cy="3297185"/>
            <wp:effectExtent b="0" l="0" r="0" t="0"/>
            <wp:docPr id="27"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456617" cy="329718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line="240" w:lineRule="auto"/>
        <w:ind w:left="40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삼성전자는 타사에 비해 큰 변화없이 이익률을 내고 있습니다. 15%정도를 유지하며 상승세도 있었지만, 다시 제자리로 돌아오는 것을 확인할 수 있습니다. DB하이텍의 경우 전체적으로 우상향의 추세를 보이며 과거 계속된 적자에서 흑자 전환 후 삼성과 비슷한 이익률을 내고 있습니다. SK하이닉스는 가장 큰 변화폭을 보이고 있는데 </w:t>
      </w:r>
    </w:p>
    <w:p w:rsidR="00000000" w:rsidDel="00000000" w:rsidP="00000000" w:rsidRDefault="00000000" w:rsidRPr="00000000" w14:paraId="0000010B">
      <w:pPr>
        <w:spacing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0C">
      <w:pPr>
        <w:widowControl w:val="0"/>
        <w:numPr>
          <w:ilvl w:val="0"/>
          <w:numId w:val="18"/>
        </w:numPr>
        <w:spacing w:line="240" w:lineRule="auto"/>
        <w:ind w:left="76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매출액증가율</w:t>
      </w:r>
    </w:p>
    <w:p w:rsidR="00000000" w:rsidDel="00000000" w:rsidP="00000000" w:rsidRDefault="00000000" w:rsidRPr="00000000" w14:paraId="0000010D">
      <w:pPr>
        <w:widowControl w:val="0"/>
        <w:spacing w:line="240" w:lineRule="auto"/>
        <w:ind w:left="2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395913" cy="3665148"/>
            <wp:effectExtent b="0" l="0" r="0" t="0"/>
            <wp:docPr id="2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395913" cy="366514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line="240" w:lineRule="auto"/>
        <w:ind w:left="40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3사 모두 기복이 심한 와중에 SK하이닉스가 가장 큰 변동폭을 갖고 있습니다. 반도체가 호황이다 보니 매출증가율이 감소하더라도 금방 회복하는 모습을 볼 수 있습니다. </w:t>
      </w:r>
    </w:p>
    <w:p w:rsidR="00000000" w:rsidDel="00000000" w:rsidP="00000000" w:rsidRDefault="00000000" w:rsidRPr="00000000" w14:paraId="0000010F">
      <w:pPr>
        <w:widowControl w:val="0"/>
        <w:spacing w:line="240" w:lineRule="auto"/>
        <w:ind w:left="400" w:firstLine="0"/>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10">
      <w:pPr>
        <w:widowControl w:val="0"/>
        <w:numPr>
          <w:ilvl w:val="0"/>
          <w:numId w:val="18"/>
        </w:numPr>
        <w:spacing w:line="240" w:lineRule="auto"/>
        <w:ind w:left="76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자기자본증가율</w:t>
      </w:r>
    </w:p>
    <w:p w:rsidR="00000000" w:rsidDel="00000000" w:rsidP="00000000" w:rsidRDefault="00000000" w:rsidRPr="00000000" w14:paraId="00000111">
      <w:pPr>
        <w:widowControl w:val="0"/>
        <w:spacing w:line="240" w:lineRule="auto"/>
        <w:ind w:left="20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0" distT="0" distL="0" distR="0">
            <wp:extent cx="5405660" cy="3688928"/>
            <wp:effectExtent b="0" l="0" r="0" t="0"/>
            <wp:docPr id="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405660" cy="368892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line="240" w:lineRule="auto"/>
        <w:ind w:left="400" w:firstLine="0"/>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삼성전자와 SK하이닉스는 10년동안 자기자본은 꾸준히 증가 혹은 유지해온 것을 확인할 수 있습니다. DB하이텍 또한 어닝 서프라이즈로 15년도에 자기자본을 대폭 상승하였고 이후로도 그에 비해 낮은 수치지만 꾸준히 상승했음을 알 수 있습니다.</w:t>
      </w:r>
    </w:p>
    <w:p w:rsidR="00000000" w:rsidDel="00000000" w:rsidP="00000000" w:rsidRDefault="00000000" w:rsidRPr="00000000" w14:paraId="00000113">
      <w:pPr>
        <w:widowControl w:val="0"/>
        <w:spacing w:line="240" w:lineRule="auto"/>
        <w:ind w:left="200" w:firstLine="0"/>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114">
      <w:pPr>
        <w:widowControl w:val="0"/>
        <w:spacing w:line="240" w:lineRule="auto"/>
        <w:ind w:left="200" w:firstLine="0"/>
        <w:jc w:val="both"/>
        <w:rPr>
          <w:rFonts w:ascii="Malgun Gothic" w:cs="Malgun Gothic" w:eastAsia="Malgun Gothic" w:hAnsi="Malgun Gothic"/>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jc w:val="center"/>
        <w:rPr/>
      </w:pPr>
      <w:bookmarkStart w:colFirst="0" w:colLast="0" w:name="_8jyxopo8jg6a" w:id="14"/>
      <w:bookmarkEnd w:id="14"/>
      <w:r w:rsidDel="00000000" w:rsidR="00000000" w:rsidRPr="00000000">
        <w:rPr>
          <w:rFonts w:ascii="Arial Unicode MS" w:cs="Arial Unicode MS" w:eastAsia="Arial Unicode MS" w:hAnsi="Arial Unicode MS"/>
          <w:rtl w:val="0"/>
        </w:rPr>
        <w:t xml:space="preserve">넥슨지티 보고서</w:t>
      </w:r>
    </w:p>
    <w:p w:rsidR="00000000" w:rsidDel="00000000" w:rsidP="00000000" w:rsidRDefault="00000000" w:rsidRPr="00000000" w14:paraId="00000116">
      <w:pPr>
        <w:rPr/>
      </w:pPr>
      <w:r w:rsidDel="00000000" w:rsidR="00000000" w:rsidRPr="00000000">
        <w:rPr/>
        <w:drawing>
          <wp:inline distB="114300" distT="114300" distL="114300" distR="114300">
            <wp:extent cx="5731200" cy="2133600"/>
            <wp:effectExtent b="0" l="0" r="0" t="0"/>
            <wp:docPr id="4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1"/>
        <w:numPr>
          <w:ilvl w:val="0"/>
          <w:numId w:val="5"/>
        </w:numPr>
        <w:ind w:left="720" w:hanging="360"/>
        <w:rPr>
          <w:sz w:val="40"/>
          <w:szCs w:val="40"/>
        </w:rPr>
      </w:pPr>
      <w:bookmarkStart w:colFirst="0" w:colLast="0" w:name="_p13nmkjk5afi" w:id="15"/>
      <w:bookmarkEnd w:id="15"/>
      <w:r w:rsidDel="00000000" w:rsidR="00000000" w:rsidRPr="00000000">
        <w:rPr>
          <w:rFonts w:ascii="Arial Unicode MS" w:cs="Arial Unicode MS" w:eastAsia="Arial Unicode MS" w:hAnsi="Arial Unicode MS"/>
          <w:rtl w:val="0"/>
        </w:rPr>
        <w:t xml:space="preserve">기업 지표(단위:%)</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tbl>
      <w:tblPr>
        <w:tblStyle w:val="Table1"/>
        <w:tblW w:w="11475.0" w:type="dxa"/>
        <w:jc w:val="left"/>
        <w:tblInd w:w="-12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930"/>
        <w:gridCol w:w="915"/>
        <w:gridCol w:w="795"/>
        <w:gridCol w:w="855"/>
        <w:gridCol w:w="855"/>
        <w:gridCol w:w="855"/>
        <w:gridCol w:w="915"/>
        <w:gridCol w:w="1110"/>
        <w:gridCol w:w="1230"/>
        <w:gridCol w:w="1290"/>
        <w:tblGridChange w:id="0">
          <w:tblGrid>
            <w:gridCol w:w="1725"/>
            <w:gridCol w:w="930"/>
            <w:gridCol w:w="915"/>
            <w:gridCol w:w="795"/>
            <w:gridCol w:w="855"/>
            <w:gridCol w:w="855"/>
            <w:gridCol w:w="855"/>
            <w:gridCol w:w="915"/>
            <w:gridCol w:w="1110"/>
            <w:gridCol w:w="1230"/>
            <w:gridCol w:w="1290"/>
          </w:tblGrid>
        </w:tblGridChange>
      </w:tblGrid>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jc w:val="right"/>
              <w:rPr>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jc w:val="right"/>
              <w:rPr>
                <w:color w:val="212121"/>
                <w:sz w:val="21"/>
                <w:szCs w:val="21"/>
              </w:rPr>
            </w:pPr>
            <w:r w:rsidDel="00000000" w:rsidR="00000000" w:rsidRPr="00000000">
              <w:rPr>
                <w:b w:val="1"/>
                <w:color w:val="212121"/>
                <w:sz w:val="21"/>
                <w:szCs w:val="21"/>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jc w:val="right"/>
              <w:rPr>
                <w:color w:val="212121"/>
                <w:sz w:val="21"/>
                <w:szCs w:val="21"/>
              </w:rPr>
            </w:pPr>
            <w:r w:rsidDel="00000000" w:rsidR="00000000" w:rsidRPr="00000000">
              <w:rPr>
                <w:b w:val="1"/>
                <w:color w:val="212121"/>
                <w:sz w:val="21"/>
                <w:szCs w:val="21"/>
                <w:rtl w:val="0"/>
              </w:rPr>
              <w:t xml:space="preserve">2012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jc w:val="right"/>
              <w:rPr>
                <w:color w:val="212121"/>
                <w:sz w:val="21"/>
                <w:szCs w:val="21"/>
              </w:rPr>
            </w:pPr>
            <w:r w:rsidDel="00000000" w:rsidR="00000000" w:rsidRPr="00000000">
              <w:rPr>
                <w:b w:val="1"/>
                <w:color w:val="212121"/>
                <w:sz w:val="21"/>
                <w:szCs w:val="21"/>
                <w:rtl w:val="0"/>
              </w:rPr>
              <w:t xml:space="preserve">2013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jc w:val="right"/>
              <w:rPr>
                <w:color w:val="212121"/>
                <w:sz w:val="21"/>
                <w:szCs w:val="21"/>
              </w:rPr>
            </w:pPr>
            <w:r w:rsidDel="00000000" w:rsidR="00000000" w:rsidRPr="00000000">
              <w:rPr>
                <w:b w:val="1"/>
                <w:color w:val="212121"/>
                <w:sz w:val="21"/>
                <w:szCs w:val="21"/>
                <w:rtl w:val="0"/>
              </w:rPr>
              <w:t xml:space="preserve">2014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jc w:val="right"/>
              <w:rPr>
                <w:color w:val="212121"/>
                <w:sz w:val="21"/>
                <w:szCs w:val="21"/>
              </w:rPr>
            </w:pPr>
            <w:r w:rsidDel="00000000" w:rsidR="00000000" w:rsidRPr="00000000">
              <w:rPr>
                <w:b w:val="1"/>
                <w:color w:val="212121"/>
                <w:sz w:val="21"/>
                <w:szCs w:val="21"/>
                <w:rtl w:val="0"/>
              </w:rPr>
              <w:t xml:space="preserve">2015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jc w:val="right"/>
              <w:rPr>
                <w:color w:val="212121"/>
                <w:sz w:val="21"/>
                <w:szCs w:val="21"/>
              </w:rPr>
            </w:pPr>
            <w:r w:rsidDel="00000000" w:rsidR="00000000" w:rsidRPr="00000000">
              <w:rPr>
                <w:b w:val="1"/>
                <w:color w:val="212121"/>
                <w:sz w:val="21"/>
                <w:szCs w:val="21"/>
                <w:rtl w:val="0"/>
              </w:rPr>
              <w:t xml:space="preserve">2016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jc w:val="right"/>
              <w:rPr>
                <w:color w:val="212121"/>
                <w:sz w:val="21"/>
                <w:szCs w:val="21"/>
              </w:rPr>
            </w:pPr>
            <w:r w:rsidDel="00000000" w:rsidR="00000000" w:rsidRPr="00000000">
              <w:rPr>
                <w:b w:val="1"/>
                <w:color w:val="212121"/>
                <w:sz w:val="21"/>
                <w:szCs w:val="21"/>
                <w:rtl w:val="0"/>
              </w:rPr>
              <w:t xml:space="preserve">2017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jc w:val="right"/>
              <w:rPr>
                <w:color w:val="212121"/>
                <w:sz w:val="21"/>
                <w:szCs w:val="21"/>
              </w:rPr>
            </w:pPr>
            <w:r w:rsidDel="00000000" w:rsidR="00000000" w:rsidRPr="00000000">
              <w:rPr>
                <w:b w:val="1"/>
                <w:color w:val="212121"/>
                <w:sz w:val="21"/>
                <w:szCs w:val="21"/>
                <w:rtl w:val="0"/>
              </w:rPr>
              <w:t xml:space="preserve">2018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jc w:val="right"/>
              <w:rPr>
                <w:color w:val="212121"/>
                <w:sz w:val="21"/>
                <w:szCs w:val="21"/>
              </w:rPr>
            </w:pPr>
            <w:r w:rsidDel="00000000" w:rsidR="00000000" w:rsidRPr="00000000">
              <w:rPr>
                <w:b w:val="1"/>
                <w:color w:val="212121"/>
                <w:sz w:val="21"/>
                <w:szCs w:val="21"/>
                <w:rtl w:val="0"/>
              </w:rPr>
              <w:t xml:space="preserve">2019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jc w:val="right"/>
              <w:rPr>
                <w:color w:val="212121"/>
                <w:sz w:val="21"/>
                <w:szCs w:val="21"/>
              </w:rPr>
            </w:pPr>
            <w:r w:rsidDel="00000000" w:rsidR="00000000" w:rsidRPr="00000000">
              <w:rPr>
                <w:b w:val="1"/>
                <w:color w:val="212121"/>
                <w:sz w:val="21"/>
                <w:szCs w:val="21"/>
                <w:rtl w:val="0"/>
              </w:rPr>
              <w:t xml:space="preserve">2020</w:t>
            </w:r>
            <w:r w:rsidDel="00000000" w:rsidR="00000000" w:rsidRPr="00000000">
              <w:rPr>
                <w:rtl w:val="0"/>
              </w:rPr>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jc w:val="center"/>
              <w:rPr>
                <w:color w:val="212121"/>
                <w:sz w:val="21"/>
                <w:szCs w:val="21"/>
              </w:rPr>
            </w:pPr>
            <w:r w:rsidDel="00000000" w:rsidR="00000000" w:rsidRPr="00000000">
              <w:rPr>
                <w:rFonts w:ascii="Arial Unicode MS" w:cs="Arial Unicode MS" w:eastAsia="Arial Unicode MS" w:hAnsi="Arial Unicode MS"/>
                <w:b w:val="1"/>
                <w:color w:val="212121"/>
                <w:sz w:val="21"/>
                <w:szCs w:val="21"/>
                <w:rtl w:val="0"/>
              </w:rPr>
              <w:t xml:space="preserve">유동비율</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jc w:val="right"/>
              <w:rPr>
                <w:color w:val="212121"/>
                <w:sz w:val="21"/>
                <w:szCs w:val="21"/>
              </w:rPr>
            </w:pPr>
            <w:r w:rsidDel="00000000" w:rsidR="00000000" w:rsidRPr="00000000">
              <w:rPr>
                <w:color w:val="212121"/>
                <w:sz w:val="21"/>
                <w:szCs w:val="21"/>
                <w:rtl w:val="0"/>
              </w:rPr>
              <w:t xml:space="preserve">436.16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jc w:val="right"/>
              <w:rPr>
                <w:color w:val="212121"/>
                <w:sz w:val="21"/>
                <w:szCs w:val="21"/>
              </w:rPr>
            </w:pPr>
            <w:r w:rsidDel="00000000" w:rsidR="00000000" w:rsidRPr="00000000">
              <w:rPr>
                <w:color w:val="212121"/>
                <w:sz w:val="21"/>
                <w:szCs w:val="21"/>
                <w:rtl w:val="0"/>
              </w:rPr>
              <w:t xml:space="preserve">545.95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jc w:val="right"/>
              <w:rPr>
                <w:color w:val="212121"/>
                <w:sz w:val="21"/>
                <w:szCs w:val="21"/>
              </w:rPr>
            </w:pPr>
            <w:r w:rsidDel="00000000" w:rsidR="00000000" w:rsidRPr="00000000">
              <w:rPr>
                <w:color w:val="212121"/>
                <w:sz w:val="21"/>
                <w:szCs w:val="21"/>
                <w:rtl w:val="0"/>
              </w:rPr>
              <w:t xml:space="preserve">693.10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jc w:val="right"/>
              <w:rPr>
                <w:color w:val="212121"/>
                <w:sz w:val="21"/>
                <w:szCs w:val="21"/>
              </w:rPr>
            </w:pPr>
            <w:r w:rsidDel="00000000" w:rsidR="00000000" w:rsidRPr="00000000">
              <w:rPr>
                <w:color w:val="212121"/>
                <w:sz w:val="21"/>
                <w:szCs w:val="21"/>
                <w:rtl w:val="0"/>
              </w:rPr>
              <w:t xml:space="preserve">614.49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jc w:val="right"/>
              <w:rPr>
                <w:color w:val="212121"/>
                <w:sz w:val="21"/>
                <w:szCs w:val="21"/>
              </w:rPr>
            </w:pPr>
            <w:r w:rsidDel="00000000" w:rsidR="00000000" w:rsidRPr="00000000">
              <w:rPr>
                <w:color w:val="212121"/>
                <w:sz w:val="21"/>
                <w:szCs w:val="21"/>
                <w:rtl w:val="0"/>
              </w:rPr>
              <w:t xml:space="preserve">744.58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jc w:val="right"/>
              <w:rPr>
                <w:color w:val="212121"/>
                <w:sz w:val="21"/>
                <w:szCs w:val="21"/>
              </w:rPr>
            </w:pPr>
            <w:r w:rsidDel="00000000" w:rsidR="00000000" w:rsidRPr="00000000">
              <w:rPr>
                <w:color w:val="212121"/>
                <w:sz w:val="21"/>
                <w:szCs w:val="21"/>
                <w:rtl w:val="0"/>
              </w:rPr>
              <w:t xml:space="preserve">1068.90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jc w:val="right"/>
              <w:rPr>
                <w:color w:val="212121"/>
                <w:sz w:val="21"/>
                <w:szCs w:val="21"/>
              </w:rPr>
            </w:pPr>
            <w:r w:rsidDel="00000000" w:rsidR="00000000" w:rsidRPr="00000000">
              <w:rPr>
                <w:color w:val="212121"/>
                <w:sz w:val="21"/>
                <w:szCs w:val="21"/>
                <w:rtl w:val="0"/>
              </w:rPr>
              <w:t xml:space="preserve">226.72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jc w:val="right"/>
              <w:rPr>
                <w:color w:val="212121"/>
                <w:sz w:val="21"/>
                <w:szCs w:val="21"/>
              </w:rPr>
            </w:pPr>
            <w:r w:rsidDel="00000000" w:rsidR="00000000" w:rsidRPr="00000000">
              <w:rPr>
                <w:color w:val="212121"/>
                <w:sz w:val="21"/>
                <w:szCs w:val="21"/>
                <w:rtl w:val="0"/>
              </w:rPr>
              <w:t xml:space="preserve">166.42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jc w:val="right"/>
              <w:rPr>
                <w:color w:val="212121"/>
                <w:sz w:val="21"/>
                <w:szCs w:val="21"/>
              </w:rPr>
            </w:pPr>
            <w:r w:rsidDel="00000000" w:rsidR="00000000" w:rsidRPr="00000000">
              <w:rPr>
                <w:color w:val="212121"/>
                <w:sz w:val="21"/>
                <w:szCs w:val="21"/>
                <w:rtl w:val="0"/>
              </w:rPr>
              <w:t xml:space="preserve">267.52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jc w:val="right"/>
              <w:rPr>
                <w:color w:val="212121"/>
                <w:sz w:val="21"/>
                <w:szCs w:val="21"/>
              </w:rPr>
            </w:pPr>
            <w:r w:rsidDel="00000000" w:rsidR="00000000" w:rsidRPr="00000000">
              <w:rPr>
                <w:color w:val="212121"/>
                <w:sz w:val="21"/>
                <w:szCs w:val="21"/>
                <w:rtl w:val="0"/>
              </w:rPr>
              <w:t xml:space="preserve">300.04</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0">
            <w:pPr>
              <w:jc w:val="center"/>
              <w:rPr>
                <w:color w:val="212121"/>
                <w:sz w:val="21"/>
                <w:szCs w:val="21"/>
              </w:rPr>
            </w:pPr>
            <w:r w:rsidDel="00000000" w:rsidR="00000000" w:rsidRPr="00000000">
              <w:rPr>
                <w:rFonts w:ascii="Arial Unicode MS" w:cs="Arial Unicode MS" w:eastAsia="Arial Unicode MS" w:hAnsi="Arial Unicode MS"/>
                <w:b w:val="1"/>
                <w:color w:val="212121"/>
                <w:sz w:val="21"/>
                <w:szCs w:val="21"/>
                <w:rtl w:val="0"/>
              </w:rPr>
              <w:t xml:space="preserve">부채비율</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jc w:val="right"/>
              <w:rPr>
                <w:color w:val="212121"/>
                <w:sz w:val="21"/>
                <w:szCs w:val="21"/>
              </w:rPr>
            </w:pPr>
            <w:r w:rsidDel="00000000" w:rsidR="00000000" w:rsidRPr="00000000">
              <w:rPr>
                <w:color w:val="212121"/>
                <w:sz w:val="21"/>
                <w:szCs w:val="21"/>
                <w:rtl w:val="0"/>
              </w:rPr>
              <w:t xml:space="preserve">39.75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jc w:val="right"/>
              <w:rPr>
                <w:color w:val="212121"/>
                <w:sz w:val="21"/>
                <w:szCs w:val="21"/>
              </w:rPr>
            </w:pPr>
            <w:r w:rsidDel="00000000" w:rsidR="00000000" w:rsidRPr="00000000">
              <w:rPr>
                <w:color w:val="212121"/>
                <w:sz w:val="21"/>
                <w:szCs w:val="21"/>
                <w:rtl w:val="0"/>
              </w:rPr>
              <w:t xml:space="preserve">24.05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jc w:val="right"/>
              <w:rPr>
                <w:color w:val="212121"/>
                <w:sz w:val="21"/>
                <w:szCs w:val="21"/>
              </w:rPr>
            </w:pPr>
            <w:r w:rsidDel="00000000" w:rsidR="00000000" w:rsidRPr="00000000">
              <w:rPr>
                <w:color w:val="212121"/>
                <w:sz w:val="21"/>
                <w:szCs w:val="21"/>
                <w:rtl w:val="0"/>
              </w:rPr>
              <w:t xml:space="preserve">16.54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jc w:val="right"/>
              <w:rPr>
                <w:color w:val="212121"/>
                <w:sz w:val="21"/>
                <w:szCs w:val="21"/>
              </w:rPr>
            </w:pPr>
            <w:r w:rsidDel="00000000" w:rsidR="00000000" w:rsidRPr="00000000">
              <w:rPr>
                <w:color w:val="212121"/>
                <w:sz w:val="21"/>
                <w:szCs w:val="21"/>
                <w:rtl w:val="0"/>
              </w:rPr>
              <w:t xml:space="preserve">18.87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jc w:val="right"/>
              <w:rPr>
                <w:color w:val="212121"/>
                <w:sz w:val="21"/>
                <w:szCs w:val="21"/>
              </w:rPr>
            </w:pPr>
            <w:r w:rsidDel="00000000" w:rsidR="00000000" w:rsidRPr="00000000">
              <w:rPr>
                <w:color w:val="212121"/>
                <w:sz w:val="21"/>
                <w:szCs w:val="21"/>
                <w:rtl w:val="0"/>
              </w:rPr>
              <w:t xml:space="preserve">15.03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jc w:val="right"/>
              <w:rPr>
                <w:color w:val="212121"/>
                <w:sz w:val="21"/>
                <w:szCs w:val="21"/>
              </w:rPr>
            </w:pPr>
            <w:r w:rsidDel="00000000" w:rsidR="00000000" w:rsidRPr="00000000">
              <w:rPr>
                <w:color w:val="212121"/>
                <w:sz w:val="21"/>
                <w:szCs w:val="21"/>
                <w:rtl w:val="0"/>
              </w:rPr>
              <w:t xml:space="preserve">9.01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right"/>
              <w:rPr>
                <w:color w:val="212121"/>
                <w:sz w:val="21"/>
                <w:szCs w:val="21"/>
              </w:rPr>
            </w:pPr>
            <w:r w:rsidDel="00000000" w:rsidR="00000000" w:rsidRPr="00000000">
              <w:rPr>
                <w:color w:val="212121"/>
                <w:sz w:val="21"/>
                <w:szCs w:val="21"/>
                <w:rtl w:val="0"/>
              </w:rPr>
              <w:t xml:space="preserve">40.16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jc w:val="right"/>
              <w:rPr>
                <w:color w:val="212121"/>
                <w:sz w:val="21"/>
                <w:szCs w:val="21"/>
              </w:rPr>
            </w:pPr>
            <w:r w:rsidDel="00000000" w:rsidR="00000000" w:rsidRPr="00000000">
              <w:rPr>
                <w:color w:val="212121"/>
                <w:sz w:val="21"/>
                <w:szCs w:val="21"/>
                <w:rtl w:val="0"/>
              </w:rPr>
              <w:t xml:space="preserve">65.23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jc w:val="right"/>
              <w:rPr>
                <w:color w:val="212121"/>
                <w:sz w:val="21"/>
                <w:szCs w:val="21"/>
              </w:rPr>
            </w:pPr>
            <w:r w:rsidDel="00000000" w:rsidR="00000000" w:rsidRPr="00000000">
              <w:rPr>
                <w:color w:val="212121"/>
                <w:sz w:val="21"/>
                <w:szCs w:val="21"/>
                <w:rtl w:val="0"/>
              </w:rPr>
              <w:t xml:space="preserve">34.44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jc w:val="right"/>
              <w:rPr>
                <w:color w:val="212121"/>
                <w:sz w:val="21"/>
                <w:szCs w:val="21"/>
              </w:rPr>
            </w:pPr>
            <w:r w:rsidDel="00000000" w:rsidR="00000000" w:rsidRPr="00000000">
              <w:rPr>
                <w:color w:val="212121"/>
                <w:sz w:val="21"/>
                <w:szCs w:val="21"/>
                <w:rtl w:val="0"/>
              </w:rPr>
              <w:t xml:space="preserve">31.30</w:t>
            </w:r>
          </w:p>
        </w:tc>
      </w:tr>
      <w:tr>
        <w:trPr>
          <w:cantSplit w:val="0"/>
          <w:trHeight w:val="562.701416015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B">
            <w:pPr>
              <w:jc w:val="center"/>
              <w:rPr>
                <w:color w:val="212121"/>
                <w:sz w:val="21"/>
                <w:szCs w:val="21"/>
              </w:rPr>
            </w:pPr>
            <w:r w:rsidDel="00000000" w:rsidR="00000000" w:rsidRPr="00000000">
              <w:rPr>
                <w:b w:val="1"/>
                <w:color w:val="212121"/>
                <w:sz w:val="21"/>
                <w:szCs w:val="21"/>
                <w:rtl w:val="0"/>
              </w:rPr>
              <w:t xml:space="preserve">ROE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jc w:val="right"/>
              <w:rPr>
                <w:color w:val="212121"/>
                <w:sz w:val="21"/>
                <w:szCs w:val="21"/>
              </w:rPr>
            </w:pPr>
            <w:r w:rsidDel="00000000" w:rsidR="00000000" w:rsidRPr="00000000">
              <w:rPr>
                <w:color w:val="212121"/>
                <w:sz w:val="21"/>
                <w:szCs w:val="21"/>
                <w:rtl w:val="0"/>
              </w:rPr>
              <w:t xml:space="preserve">4.08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jc w:val="right"/>
              <w:rPr>
                <w:color w:val="212121"/>
                <w:sz w:val="21"/>
                <w:szCs w:val="21"/>
              </w:rPr>
            </w:pPr>
            <w:r w:rsidDel="00000000" w:rsidR="00000000" w:rsidRPr="00000000">
              <w:rPr>
                <w:color w:val="212121"/>
                <w:sz w:val="21"/>
                <w:szCs w:val="21"/>
                <w:rtl w:val="0"/>
              </w:rPr>
              <w:t xml:space="preserve">23.66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jc w:val="right"/>
              <w:rPr>
                <w:color w:val="212121"/>
                <w:sz w:val="21"/>
                <w:szCs w:val="21"/>
              </w:rPr>
            </w:pPr>
            <w:r w:rsidDel="00000000" w:rsidR="00000000" w:rsidRPr="00000000">
              <w:rPr>
                <w:color w:val="212121"/>
                <w:sz w:val="21"/>
                <w:szCs w:val="21"/>
                <w:rtl w:val="0"/>
              </w:rPr>
              <w:t xml:space="preserve">23.70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jc w:val="right"/>
              <w:rPr>
                <w:color w:val="212121"/>
                <w:sz w:val="21"/>
                <w:szCs w:val="21"/>
              </w:rPr>
            </w:pPr>
            <w:r w:rsidDel="00000000" w:rsidR="00000000" w:rsidRPr="00000000">
              <w:rPr>
                <w:color w:val="212121"/>
                <w:sz w:val="21"/>
                <w:szCs w:val="21"/>
                <w:rtl w:val="0"/>
              </w:rPr>
              <w:t xml:space="preserve">9.43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jc w:val="right"/>
              <w:rPr>
                <w:color w:val="212121"/>
                <w:sz w:val="21"/>
                <w:szCs w:val="21"/>
              </w:rPr>
            </w:pPr>
            <w:r w:rsidDel="00000000" w:rsidR="00000000" w:rsidRPr="00000000">
              <w:rPr>
                <w:color w:val="212121"/>
                <w:sz w:val="21"/>
                <w:szCs w:val="21"/>
                <w:rtl w:val="0"/>
              </w:rPr>
              <w:t xml:space="preserve">14.78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jc w:val="right"/>
              <w:rPr>
                <w:color w:val="212121"/>
                <w:sz w:val="21"/>
                <w:szCs w:val="21"/>
              </w:rPr>
            </w:pPr>
            <w:r w:rsidDel="00000000" w:rsidR="00000000" w:rsidRPr="00000000">
              <w:rPr>
                <w:color w:val="212121"/>
                <w:sz w:val="21"/>
                <w:szCs w:val="21"/>
                <w:rtl w:val="0"/>
              </w:rPr>
              <w:t xml:space="preserve">11.76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jc w:val="right"/>
              <w:rPr>
                <w:color w:val="212121"/>
                <w:sz w:val="21"/>
                <w:szCs w:val="21"/>
              </w:rPr>
            </w:pPr>
            <w:r w:rsidDel="00000000" w:rsidR="00000000" w:rsidRPr="00000000">
              <w:rPr>
                <w:color w:val="212121"/>
                <w:sz w:val="21"/>
                <w:szCs w:val="21"/>
                <w:rtl w:val="0"/>
              </w:rPr>
              <w:t xml:space="preserve">-10.06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jc w:val="right"/>
              <w:rPr>
                <w:color w:val="212121"/>
                <w:sz w:val="21"/>
                <w:szCs w:val="21"/>
              </w:rPr>
            </w:pPr>
            <w:r w:rsidDel="00000000" w:rsidR="00000000" w:rsidRPr="00000000">
              <w:rPr>
                <w:color w:val="212121"/>
                <w:sz w:val="21"/>
                <w:szCs w:val="21"/>
                <w:rtl w:val="0"/>
              </w:rPr>
              <w:t xml:space="preserve">-22.16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jc w:val="right"/>
              <w:rPr>
                <w:color w:val="212121"/>
                <w:sz w:val="21"/>
                <w:szCs w:val="21"/>
              </w:rPr>
            </w:pPr>
            <w:r w:rsidDel="00000000" w:rsidR="00000000" w:rsidRPr="00000000">
              <w:rPr>
                <w:color w:val="212121"/>
                <w:sz w:val="21"/>
                <w:szCs w:val="21"/>
                <w:rtl w:val="0"/>
              </w:rPr>
              <w:t xml:space="preserve">2.78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jc w:val="right"/>
              <w:rPr>
                <w:color w:val="212121"/>
                <w:sz w:val="21"/>
                <w:szCs w:val="21"/>
              </w:rPr>
            </w:pPr>
            <w:r w:rsidDel="00000000" w:rsidR="00000000" w:rsidRPr="00000000">
              <w:rPr>
                <w:color w:val="212121"/>
                <w:sz w:val="21"/>
                <w:szCs w:val="21"/>
                <w:rtl w:val="0"/>
              </w:rPr>
              <w:t xml:space="preserve">3.61</w:t>
            </w:r>
          </w:p>
        </w:tc>
      </w:tr>
      <w:tr>
        <w:trPr>
          <w:cantSplit w:val="0"/>
          <w:trHeight w:val="607.701416015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6">
            <w:pPr>
              <w:jc w:val="center"/>
              <w:rPr>
                <w:color w:val="212121"/>
                <w:sz w:val="21"/>
                <w:szCs w:val="21"/>
              </w:rPr>
            </w:pPr>
            <w:r w:rsidDel="00000000" w:rsidR="00000000" w:rsidRPr="00000000">
              <w:rPr>
                <w:b w:val="1"/>
                <w:color w:val="212121"/>
                <w:sz w:val="21"/>
                <w:szCs w:val="21"/>
                <w:rtl w:val="0"/>
              </w:rPr>
              <w:t xml:space="preserve">ROIC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jc w:val="right"/>
              <w:rPr>
                <w:color w:val="212121"/>
                <w:sz w:val="21"/>
                <w:szCs w:val="21"/>
              </w:rPr>
            </w:pPr>
            <w:r w:rsidDel="00000000" w:rsidR="00000000" w:rsidRPr="00000000">
              <w:rPr>
                <w:color w:val="212121"/>
                <w:sz w:val="21"/>
                <w:szCs w:val="21"/>
                <w:rtl w:val="0"/>
              </w:rPr>
              <w:t xml:space="preserve">23.86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jc w:val="right"/>
              <w:rPr>
                <w:color w:val="212121"/>
                <w:sz w:val="21"/>
                <w:szCs w:val="21"/>
              </w:rPr>
            </w:pPr>
            <w:r w:rsidDel="00000000" w:rsidR="00000000" w:rsidRPr="00000000">
              <w:rPr>
                <w:color w:val="212121"/>
                <w:sz w:val="21"/>
                <w:szCs w:val="21"/>
                <w:rtl w:val="0"/>
              </w:rPr>
              <w:t xml:space="preserve">21.72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jc w:val="right"/>
              <w:rPr>
                <w:color w:val="212121"/>
                <w:sz w:val="21"/>
                <w:szCs w:val="21"/>
              </w:rPr>
            </w:pPr>
            <w:r w:rsidDel="00000000" w:rsidR="00000000" w:rsidRPr="00000000">
              <w:rPr>
                <w:color w:val="212121"/>
                <w:sz w:val="21"/>
                <w:szCs w:val="21"/>
                <w:rtl w:val="0"/>
              </w:rPr>
              <w:t xml:space="preserve">16.27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jc w:val="right"/>
              <w:rPr>
                <w:color w:val="212121"/>
                <w:sz w:val="21"/>
                <w:szCs w:val="21"/>
              </w:rPr>
            </w:pPr>
            <w:r w:rsidDel="00000000" w:rsidR="00000000" w:rsidRPr="00000000">
              <w:rPr>
                <w:color w:val="212121"/>
                <w:sz w:val="21"/>
                <w:szCs w:val="21"/>
                <w:rtl w:val="0"/>
              </w:rPr>
              <w:t xml:space="preserve">5.49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jc w:val="right"/>
              <w:rPr>
                <w:color w:val="212121"/>
                <w:sz w:val="21"/>
                <w:szCs w:val="21"/>
              </w:rPr>
            </w:pPr>
            <w:r w:rsidDel="00000000" w:rsidR="00000000" w:rsidRPr="00000000">
              <w:rPr>
                <w:color w:val="212121"/>
                <w:sz w:val="21"/>
                <w:szCs w:val="21"/>
                <w:rtl w:val="0"/>
              </w:rPr>
              <w:t xml:space="preserve">9.56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jc w:val="right"/>
              <w:rPr>
                <w:color w:val="212121"/>
                <w:sz w:val="21"/>
                <w:szCs w:val="21"/>
              </w:rPr>
            </w:pPr>
            <w:r w:rsidDel="00000000" w:rsidR="00000000" w:rsidRPr="00000000">
              <w:rPr>
                <w:color w:val="212121"/>
                <w:sz w:val="21"/>
                <w:szCs w:val="21"/>
                <w:rtl w:val="0"/>
              </w:rPr>
              <w:t xml:space="preserve">8.31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jc w:val="right"/>
              <w:rPr>
                <w:color w:val="212121"/>
                <w:sz w:val="21"/>
                <w:szCs w:val="21"/>
              </w:rPr>
            </w:pPr>
            <w:r w:rsidDel="00000000" w:rsidR="00000000" w:rsidRPr="00000000">
              <w:rPr>
                <w:color w:val="212121"/>
                <w:sz w:val="21"/>
                <w:szCs w:val="21"/>
                <w:rtl w:val="0"/>
              </w:rPr>
              <w:t xml:space="preserve">-0.63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jc w:val="right"/>
              <w:rPr>
                <w:color w:val="212121"/>
                <w:sz w:val="21"/>
                <w:szCs w:val="21"/>
              </w:rPr>
            </w:pPr>
            <w:r w:rsidDel="00000000" w:rsidR="00000000" w:rsidRPr="00000000">
              <w:rPr>
                <w:color w:val="212121"/>
                <w:sz w:val="21"/>
                <w:szCs w:val="21"/>
                <w:rtl w:val="0"/>
              </w:rPr>
              <w:t xml:space="preserve">-15.01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jc w:val="right"/>
              <w:rPr>
                <w:color w:val="212121"/>
                <w:sz w:val="21"/>
                <w:szCs w:val="21"/>
              </w:rPr>
            </w:pPr>
            <w:r w:rsidDel="00000000" w:rsidR="00000000" w:rsidRPr="00000000">
              <w:rPr>
                <w:color w:val="212121"/>
                <w:sz w:val="21"/>
                <w:szCs w:val="21"/>
                <w:rtl w:val="0"/>
              </w:rPr>
              <w:t xml:space="preserve">-19.57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jc w:val="right"/>
              <w:rPr>
                <w:color w:val="212121"/>
                <w:sz w:val="21"/>
                <w:szCs w:val="21"/>
              </w:rPr>
            </w:pPr>
            <w:r w:rsidDel="00000000" w:rsidR="00000000" w:rsidRPr="00000000">
              <w:rPr>
                <w:color w:val="212121"/>
                <w:sz w:val="21"/>
                <w:szCs w:val="21"/>
                <w:rtl w:val="0"/>
              </w:rPr>
              <w:t xml:space="preserve">2.17</w:t>
            </w:r>
          </w:p>
        </w:tc>
      </w:tr>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1">
            <w:pPr>
              <w:jc w:val="center"/>
              <w:rPr>
                <w:color w:val="212121"/>
                <w:sz w:val="21"/>
                <w:szCs w:val="21"/>
              </w:rPr>
            </w:pPr>
            <w:r w:rsidDel="00000000" w:rsidR="00000000" w:rsidRPr="00000000">
              <w:rPr>
                <w:rFonts w:ascii="Arial Unicode MS" w:cs="Arial Unicode MS" w:eastAsia="Arial Unicode MS" w:hAnsi="Arial Unicode MS"/>
                <w:b w:val="1"/>
                <w:color w:val="212121"/>
                <w:sz w:val="21"/>
                <w:szCs w:val="21"/>
                <w:rtl w:val="0"/>
              </w:rPr>
              <w:t xml:space="preserve">영업이익률</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jc w:val="right"/>
              <w:rPr>
                <w:color w:val="212121"/>
                <w:sz w:val="21"/>
                <w:szCs w:val="21"/>
              </w:rPr>
            </w:pPr>
            <w:r w:rsidDel="00000000" w:rsidR="00000000" w:rsidRPr="00000000">
              <w:rPr>
                <w:color w:val="212121"/>
                <w:sz w:val="21"/>
                <w:szCs w:val="21"/>
                <w:rtl w:val="0"/>
              </w:rPr>
              <w:t xml:space="preserve">48.34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jc w:val="right"/>
              <w:rPr>
                <w:color w:val="212121"/>
                <w:sz w:val="21"/>
                <w:szCs w:val="21"/>
              </w:rPr>
            </w:pPr>
            <w:r w:rsidDel="00000000" w:rsidR="00000000" w:rsidRPr="00000000">
              <w:rPr>
                <w:color w:val="212121"/>
                <w:sz w:val="21"/>
                <w:szCs w:val="21"/>
                <w:rtl w:val="0"/>
              </w:rPr>
              <w:t xml:space="preserve">54.22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jc w:val="right"/>
              <w:rPr>
                <w:color w:val="212121"/>
                <w:sz w:val="21"/>
                <w:szCs w:val="21"/>
              </w:rPr>
            </w:pPr>
            <w:r w:rsidDel="00000000" w:rsidR="00000000" w:rsidRPr="00000000">
              <w:rPr>
                <w:color w:val="212121"/>
                <w:sz w:val="21"/>
                <w:szCs w:val="21"/>
                <w:rtl w:val="0"/>
              </w:rPr>
              <w:t xml:space="preserve">41.24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jc w:val="right"/>
              <w:rPr>
                <w:color w:val="212121"/>
                <w:sz w:val="21"/>
                <w:szCs w:val="21"/>
              </w:rPr>
            </w:pPr>
            <w:r w:rsidDel="00000000" w:rsidR="00000000" w:rsidRPr="00000000">
              <w:rPr>
                <w:color w:val="212121"/>
                <w:sz w:val="21"/>
                <w:szCs w:val="21"/>
                <w:rtl w:val="0"/>
              </w:rPr>
              <w:t xml:space="preserve">32.50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jc w:val="right"/>
              <w:rPr>
                <w:color w:val="212121"/>
                <w:sz w:val="21"/>
                <w:szCs w:val="21"/>
              </w:rPr>
            </w:pPr>
            <w:r w:rsidDel="00000000" w:rsidR="00000000" w:rsidRPr="00000000">
              <w:rPr>
                <w:color w:val="212121"/>
                <w:sz w:val="21"/>
                <w:szCs w:val="21"/>
                <w:rtl w:val="0"/>
              </w:rPr>
              <w:t xml:space="preserve">33.51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jc w:val="right"/>
              <w:rPr>
                <w:color w:val="212121"/>
                <w:sz w:val="21"/>
                <w:szCs w:val="21"/>
              </w:rPr>
            </w:pPr>
            <w:r w:rsidDel="00000000" w:rsidR="00000000" w:rsidRPr="00000000">
              <w:rPr>
                <w:color w:val="212121"/>
                <w:sz w:val="21"/>
                <w:szCs w:val="21"/>
                <w:rtl w:val="0"/>
              </w:rPr>
              <w:t xml:space="preserve">29.08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jc w:val="right"/>
              <w:rPr>
                <w:color w:val="212121"/>
                <w:sz w:val="21"/>
                <w:szCs w:val="21"/>
              </w:rPr>
            </w:pPr>
            <w:r w:rsidDel="00000000" w:rsidR="00000000" w:rsidRPr="00000000">
              <w:rPr>
                <w:color w:val="212121"/>
                <w:sz w:val="21"/>
                <w:szCs w:val="21"/>
                <w:rtl w:val="0"/>
              </w:rPr>
              <w:t xml:space="preserve">-4.71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jc w:val="right"/>
              <w:rPr>
                <w:color w:val="212121"/>
                <w:sz w:val="21"/>
                <w:szCs w:val="21"/>
              </w:rPr>
            </w:pPr>
            <w:r w:rsidDel="00000000" w:rsidR="00000000" w:rsidRPr="00000000">
              <w:rPr>
                <w:color w:val="212121"/>
                <w:sz w:val="21"/>
                <w:szCs w:val="21"/>
                <w:rtl w:val="0"/>
              </w:rPr>
              <w:t xml:space="preserve">-77.61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jc w:val="right"/>
              <w:rPr>
                <w:color w:val="212121"/>
                <w:sz w:val="21"/>
                <w:szCs w:val="21"/>
              </w:rPr>
            </w:pPr>
            <w:r w:rsidDel="00000000" w:rsidR="00000000" w:rsidRPr="00000000">
              <w:rPr>
                <w:color w:val="212121"/>
                <w:sz w:val="21"/>
                <w:szCs w:val="21"/>
                <w:rtl w:val="0"/>
              </w:rPr>
              <w:t xml:space="preserve">-95.04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jc w:val="right"/>
              <w:rPr>
                <w:color w:val="212121"/>
                <w:sz w:val="21"/>
                <w:szCs w:val="21"/>
              </w:rPr>
            </w:pPr>
            <w:r w:rsidDel="00000000" w:rsidR="00000000" w:rsidRPr="00000000">
              <w:rPr>
                <w:color w:val="212121"/>
                <w:sz w:val="21"/>
                <w:szCs w:val="21"/>
                <w:rtl w:val="0"/>
              </w:rPr>
              <w:t xml:space="preserve">11.20</w:t>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C">
            <w:pPr>
              <w:jc w:val="center"/>
              <w:rPr>
                <w:color w:val="212121"/>
                <w:sz w:val="21"/>
                <w:szCs w:val="21"/>
              </w:rPr>
            </w:pPr>
            <w:r w:rsidDel="00000000" w:rsidR="00000000" w:rsidRPr="00000000">
              <w:rPr>
                <w:rFonts w:ascii="Arial Unicode MS" w:cs="Arial Unicode MS" w:eastAsia="Arial Unicode MS" w:hAnsi="Arial Unicode MS"/>
                <w:b w:val="1"/>
                <w:color w:val="212121"/>
                <w:sz w:val="21"/>
                <w:szCs w:val="21"/>
                <w:rtl w:val="0"/>
              </w:rPr>
              <w:t xml:space="preserve">매출액증가율</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jc w:val="right"/>
              <w:rPr>
                <w:color w:val="212121"/>
                <w:sz w:val="21"/>
                <w:szCs w:val="21"/>
              </w:rPr>
            </w:pPr>
            <w:r w:rsidDel="00000000" w:rsidR="00000000" w:rsidRPr="00000000">
              <w:rPr>
                <w:color w:val="212121"/>
                <w:sz w:val="21"/>
                <w:szCs w:val="21"/>
                <w:rtl w:val="0"/>
              </w:rPr>
              <w:t xml:space="preserve">2.09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jc w:val="right"/>
              <w:rPr>
                <w:color w:val="212121"/>
                <w:sz w:val="21"/>
                <w:szCs w:val="21"/>
              </w:rPr>
            </w:pPr>
            <w:r w:rsidDel="00000000" w:rsidR="00000000" w:rsidRPr="00000000">
              <w:rPr>
                <w:color w:val="212121"/>
                <w:sz w:val="21"/>
                <w:szCs w:val="21"/>
                <w:rtl w:val="0"/>
              </w:rPr>
              <w:t xml:space="preserve">28.65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jc w:val="right"/>
              <w:rPr>
                <w:color w:val="212121"/>
                <w:sz w:val="21"/>
                <w:szCs w:val="21"/>
              </w:rPr>
            </w:pPr>
            <w:r w:rsidDel="00000000" w:rsidR="00000000" w:rsidRPr="00000000">
              <w:rPr>
                <w:color w:val="212121"/>
                <w:sz w:val="21"/>
                <w:szCs w:val="21"/>
                <w:rtl w:val="0"/>
              </w:rPr>
              <w:t xml:space="preserve">4.16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jc w:val="right"/>
              <w:rPr>
                <w:color w:val="212121"/>
                <w:sz w:val="21"/>
                <w:szCs w:val="21"/>
              </w:rPr>
            </w:pPr>
            <w:r w:rsidDel="00000000" w:rsidR="00000000" w:rsidRPr="00000000">
              <w:rPr>
                <w:color w:val="212121"/>
                <w:sz w:val="21"/>
                <w:szCs w:val="21"/>
                <w:rtl w:val="0"/>
              </w:rPr>
              <w:t xml:space="preserve">14.50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jc w:val="right"/>
              <w:rPr>
                <w:color w:val="212121"/>
                <w:sz w:val="21"/>
                <w:szCs w:val="21"/>
              </w:rPr>
            </w:pPr>
            <w:r w:rsidDel="00000000" w:rsidR="00000000" w:rsidRPr="00000000">
              <w:rPr>
                <w:color w:val="212121"/>
                <w:sz w:val="21"/>
                <w:szCs w:val="21"/>
                <w:rtl w:val="0"/>
              </w:rPr>
              <w:t xml:space="preserve">-5.01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jc w:val="right"/>
              <w:rPr>
                <w:color w:val="212121"/>
                <w:sz w:val="21"/>
                <w:szCs w:val="21"/>
              </w:rPr>
            </w:pPr>
            <w:r w:rsidDel="00000000" w:rsidR="00000000" w:rsidRPr="00000000">
              <w:rPr>
                <w:color w:val="212121"/>
                <w:sz w:val="21"/>
                <w:szCs w:val="21"/>
                <w:rtl w:val="0"/>
              </w:rPr>
              <w:t xml:space="preserve">1.75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jc w:val="right"/>
              <w:rPr>
                <w:color w:val="212121"/>
                <w:sz w:val="21"/>
                <w:szCs w:val="21"/>
              </w:rPr>
            </w:pPr>
            <w:r w:rsidDel="00000000" w:rsidR="00000000" w:rsidRPr="00000000">
              <w:rPr>
                <w:color w:val="212121"/>
                <w:sz w:val="21"/>
                <w:szCs w:val="21"/>
                <w:rtl w:val="0"/>
              </w:rPr>
              <w:t xml:space="preserve">-19.46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jc w:val="right"/>
              <w:rPr>
                <w:color w:val="212121"/>
                <w:sz w:val="21"/>
                <w:szCs w:val="21"/>
              </w:rPr>
            </w:pPr>
            <w:r w:rsidDel="00000000" w:rsidR="00000000" w:rsidRPr="00000000">
              <w:rPr>
                <w:color w:val="212121"/>
                <w:sz w:val="21"/>
                <w:szCs w:val="21"/>
                <w:rtl w:val="0"/>
              </w:rPr>
              <w:t xml:space="preserve">-34.12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jc w:val="right"/>
              <w:rPr>
                <w:color w:val="212121"/>
                <w:sz w:val="21"/>
                <w:szCs w:val="21"/>
              </w:rPr>
            </w:pPr>
            <w:r w:rsidDel="00000000" w:rsidR="00000000" w:rsidRPr="00000000">
              <w:rPr>
                <w:color w:val="212121"/>
                <w:sz w:val="21"/>
                <w:szCs w:val="21"/>
                <w:rtl w:val="0"/>
              </w:rPr>
              <w:t xml:space="preserve">-6.92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jc w:val="right"/>
              <w:rPr>
                <w:color w:val="212121"/>
                <w:sz w:val="21"/>
                <w:szCs w:val="21"/>
              </w:rPr>
            </w:pPr>
            <w:r w:rsidDel="00000000" w:rsidR="00000000" w:rsidRPr="00000000">
              <w:rPr>
                <w:color w:val="212121"/>
                <w:sz w:val="21"/>
                <w:szCs w:val="21"/>
                <w:rtl w:val="0"/>
              </w:rPr>
              <w:t xml:space="preserve">-7.87</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7">
            <w:pPr>
              <w:jc w:val="center"/>
              <w:rPr>
                <w:color w:val="212121"/>
                <w:sz w:val="21"/>
                <w:szCs w:val="21"/>
              </w:rPr>
            </w:pPr>
            <w:r w:rsidDel="00000000" w:rsidR="00000000" w:rsidRPr="00000000">
              <w:rPr>
                <w:rFonts w:ascii="Arial Unicode MS" w:cs="Arial Unicode MS" w:eastAsia="Arial Unicode MS" w:hAnsi="Arial Unicode MS"/>
                <w:b w:val="1"/>
                <w:color w:val="212121"/>
                <w:sz w:val="21"/>
                <w:szCs w:val="21"/>
                <w:rtl w:val="0"/>
              </w:rPr>
              <w:t xml:space="preserve">자기자본증가율</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jc w:val="right"/>
              <w:rPr>
                <w:color w:val="212121"/>
                <w:sz w:val="21"/>
                <w:szCs w:val="21"/>
              </w:rPr>
            </w:pPr>
            <w:r w:rsidDel="00000000" w:rsidR="00000000" w:rsidRPr="00000000">
              <w:rPr>
                <w:color w:val="212121"/>
                <w:sz w:val="21"/>
                <w:szCs w:val="21"/>
                <w:rtl w:val="0"/>
              </w:rPr>
              <w:t xml:space="preserve">17.71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jc w:val="right"/>
              <w:rPr>
                <w:color w:val="212121"/>
                <w:sz w:val="21"/>
                <w:szCs w:val="21"/>
              </w:rPr>
            </w:pPr>
            <w:r w:rsidDel="00000000" w:rsidR="00000000" w:rsidRPr="00000000">
              <w:rPr>
                <w:color w:val="212121"/>
                <w:sz w:val="21"/>
                <w:szCs w:val="21"/>
                <w:rtl w:val="0"/>
              </w:rPr>
              <w:t xml:space="preserve">27.40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jc w:val="right"/>
              <w:rPr>
                <w:color w:val="212121"/>
                <w:sz w:val="21"/>
                <w:szCs w:val="21"/>
              </w:rPr>
            </w:pPr>
            <w:r w:rsidDel="00000000" w:rsidR="00000000" w:rsidRPr="00000000">
              <w:rPr>
                <w:color w:val="212121"/>
                <w:sz w:val="21"/>
                <w:szCs w:val="21"/>
                <w:rtl w:val="0"/>
              </w:rPr>
              <w:t xml:space="preserve">28.97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jc w:val="right"/>
              <w:rPr>
                <w:color w:val="212121"/>
                <w:sz w:val="21"/>
                <w:szCs w:val="21"/>
              </w:rPr>
            </w:pPr>
            <w:r w:rsidDel="00000000" w:rsidR="00000000" w:rsidRPr="00000000">
              <w:rPr>
                <w:color w:val="212121"/>
                <w:sz w:val="21"/>
                <w:szCs w:val="21"/>
                <w:rtl w:val="0"/>
              </w:rPr>
              <w:t xml:space="preserve">18.47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jc w:val="right"/>
              <w:rPr>
                <w:color w:val="212121"/>
                <w:sz w:val="21"/>
                <w:szCs w:val="21"/>
              </w:rPr>
            </w:pPr>
            <w:r w:rsidDel="00000000" w:rsidR="00000000" w:rsidRPr="00000000">
              <w:rPr>
                <w:color w:val="212121"/>
                <w:sz w:val="21"/>
                <w:szCs w:val="21"/>
                <w:rtl w:val="0"/>
              </w:rPr>
              <w:t xml:space="preserve">16.83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jc w:val="right"/>
              <w:rPr>
                <w:color w:val="212121"/>
                <w:sz w:val="21"/>
                <w:szCs w:val="21"/>
              </w:rPr>
            </w:pPr>
            <w:r w:rsidDel="00000000" w:rsidR="00000000" w:rsidRPr="00000000">
              <w:rPr>
                <w:color w:val="212121"/>
                <w:sz w:val="21"/>
                <w:szCs w:val="21"/>
                <w:rtl w:val="0"/>
              </w:rPr>
              <w:t xml:space="preserve">6.79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jc w:val="right"/>
              <w:rPr>
                <w:color w:val="212121"/>
                <w:sz w:val="21"/>
                <w:szCs w:val="21"/>
              </w:rPr>
            </w:pPr>
            <w:r w:rsidDel="00000000" w:rsidR="00000000" w:rsidRPr="00000000">
              <w:rPr>
                <w:color w:val="212121"/>
                <w:sz w:val="21"/>
                <w:szCs w:val="21"/>
                <w:rtl w:val="0"/>
              </w:rPr>
              <w:t xml:space="preserve">-10.88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jc w:val="right"/>
              <w:rPr>
                <w:color w:val="212121"/>
                <w:sz w:val="21"/>
                <w:szCs w:val="21"/>
              </w:rPr>
            </w:pPr>
            <w:r w:rsidDel="00000000" w:rsidR="00000000" w:rsidRPr="00000000">
              <w:rPr>
                <w:color w:val="212121"/>
                <w:sz w:val="21"/>
                <w:szCs w:val="21"/>
                <w:rtl w:val="0"/>
              </w:rPr>
              <w:t xml:space="preserve">-17.13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jc w:val="right"/>
              <w:rPr>
                <w:color w:val="212121"/>
                <w:sz w:val="21"/>
                <w:szCs w:val="21"/>
              </w:rPr>
            </w:pPr>
            <w:r w:rsidDel="00000000" w:rsidR="00000000" w:rsidRPr="00000000">
              <w:rPr>
                <w:color w:val="212121"/>
                <w:sz w:val="21"/>
                <w:szCs w:val="21"/>
                <w:rtl w:val="0"/>
              </w:rPr>
              <w:t xml:space="preserve">4.66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jc w:val="right"/>
              <w:rPr>
                <w:color w:val="212121"/>
                <w:sz w:val="21"/>
                <w:szCs w:val="21"/>
              </w:rPr>
            </w:pPr>
            <w:r w:rsidDel="00000000" w:rsidR="00000000" w:rsidRPr="00000000">
              <w:rPr>
                <w:color w:val="212121"/>
                <w:sz w:val="21"/>
                <w:szCs w:val="21"/>
                <w:rtl w:val="0"/>
              </w:rPr>
              <w:t xml:space="preserve">3.83</w:t>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Fonts w:ascii="Arial Unicode MS" w:cs="Arial Unicode MS" w:eastAsia="Arial Unicode MS" w:hAnsi="Arial Unicode MS"/>
          <w:sz w:val="24"/>
          <w:szCs w:val="24"/>
          <w:rtl w:val="0"/>
        </w:rPr>
        <w:t xml:space="preserve">2011년부터 2020년까지의 재무제표를 통해 기업 분석을 위한 파생 지표를 도출함</w:t>
      </w:r>
    </w:p>
    <w:p w:rsidR="00000000" w:rsidDel="00000000" w:rsidP="00000000" w:rsidRDefault="00000000" w:rsidRPr="00000000" w14:paraId="00000174">
      <w:pPr>
        <w:pStyle w:val="Heading1"/>
        <w:numPr>
          <w:ilvl w:val="0"/>
          <w:numId w:val="5"/>
        </w:numPr>
        <w:ind w:left="720" w:hanging="360"/>
        <w:rPr>
          <w:sz w:val="40"/>
          <w:szCs w:val="40"/>
        </w:rPr>
      </w:pPr>
      <w:bookmarkStart w:colFirst="0" w:colLast="0" w:name="_hnw9aiekkm88" w:id="16"/>
      <w:bookmarkEnd w:id="16"/>
      <w:r w:rsidDel="00000000" w:rsidR="00000000" w:rsidRPr="00000000">
        <w:rPr>
          <w:rFonts w:ascii="Arial Unicode MS" w:cs="Arial Unicode MS" w:eastAsia="Arial Unicode MS" w:hAnsi="Arial Unicode MS"/>
          <w:rtl w:val="0"/>
        </w:rPr>
        <w:t xml:space="preserve">안정성 : 유동비율과 부채비율</w:t>
      </w:r>
    </w:p>
    <w:p w:rsidR="00000000" w:rsidDel="00000000" w:rsidP="00000000" w:rsidRDefault="00000000" w:rsidRPr="00000000" w14:paraId="0000017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-349086</wp:posOffset>
            </wp:positionH>
            <wp:positionV relativeFrom="paragraph">
              <wp:posOffset>123825</wp:posOffset>
            </wp:positionV>
            <wp:extent cx="6429375" cy="2307301"/>
            <wp:effectExtent b="0" l="0" r="0" t="0"/>
            <wp:wrapTopAndBottom distB="114300" distT="114300"/>
            <wp:docPr id="47"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6429375" cy="2307301"/>
                    </a:xfrm>
                    <a:prstGeom prst="rect"/>
                    <a:ln/>
                  </pic:spPr>
                </pic:pic>
              </a:graphicData>
            </a:graphic>
          </wp:anchor>
        </w:drawing>
      </w:r>
    </w:p>
    <w:p w:rsidR="00000000" w:rsidDel="00000000" w:rsidP="00000000" w:rsidRDefault="00000000" w:rsidRPr="00000000" w14:paraId="00000176">
      <w:pPr>
        <w:rPr>
          <w:sz w:val="24"/>
          <w:szCs w:val="24"/>
        </w:rPr>
      </w:pPr>
      <w:r w:rsidDel="00000000" w:rsidR="00000000" w:rsidRPr="00000000">
        <w:rPr>
          <w:rFonts w:ascii="Arial Unicode MS" w:cs="Arial Unicode MS" w:eastAsia="Arial Unicode MS" w:hAnsi="Arial Unicode MS"/>
          <w:sz w:val="24"/>
          <w:szCs w:val="24"/>
          <w:rtl w:val="0"/>
        </w:rPr>
        <w:t xml:space="preserve">유동비율 = 검정 그래프, 부채비율 = 빨강 그래프</w:t>
      </w:r>
    </w:p>
    <w:p w:rsidR="00000000" w:rsidDel="00000000" w:rsidP="00000000" w:rsidRDefault="00000000" w:rsidRPr="00000000" w14:paraId="00000177">
      <w:pPr>
        <w:rPr>
          <w:sz w:val="24"/>
          <w:szCs w:val="24"/>
        </w:rPr>
      </w:pPr>
      <w:r w:rsidDel="00000000" w:rsidR="00000000" w:rsidRPr="00000000">
        <w:rPr>
          <w:rFonts w:ascii="Arial Unicode MS" w:cs="Arial Unicode MS" w:eastAsia="Arial Unicode MS" w:hAnsi="Arial Unicode MS"/>
          <w:sz w:val="24"/>
          <w:szCs w:val="24"/>
          <w:rtl w:val="0"/>
        </w:rPr>
        <w:t xml:space="preserve">유동비율 : (유동자산 / 유동부채) * 100</w:t>
      </w:r>
    </w:p>
    <w:p w:rsidR="00000000" w:rsidDel="00000000" w:rsidP="00000000" w:rsidRDefault="00000000" w:rsidRPr="00000000" w14:paraId="00000178">
      <w:pPr>
        <w:rPr>
          <w:sz w:val="24"/>
          <w:szCs w:val="24"/>
        </w:rPr>
      </w:pPr>
      <w:r w:rsidDel="00000000" w:rsidR="00000000" w:rsidRPr="00000000">
        <w:rPr>
          <w:rFonts w:ascii="Arial Unicode MS" w:cs="Arial Unicode MS" w:eastAsia="Arial Unicode MS" w:hAnsi="Arial Unicode MS"/>
          <w:sz w:val="24"/>
          <w:szCs w:val="24"/>
          <w:rtl w:val="0"/>
        </w:rPr>
        <w:t xml:space="preserve">기업의 단기부채 상환능력을 평가하는 비율로, 유동비율이 높을수록 재무구조가 건전하다고 할 수 있다.</w:t>
      </w:r>
    </w:p>
    <w:p w:rsidR="00000000" w:rsidDel="00000000" w:rsidP="00000000" w:rsidRDefault="00000000" w:rsidRPr="00000000" w14:paraId="00000179">
      <w:pPr>
        <w:rPr>
          <w:sz w:val="24"/>
          <w:szCs w:val="24"/>
        </w:rPr>
      </w:pPr>
      <w:r w:rsidDel="00000000" w:rsidR="00000000" w:rsidRPr="00000000">
        <w:rPr>
          <w:rFonts w:ascii="Arial Unicode MS" w:cs="Arial Unicode MS" w:eastAsia="Arial Unicode MS" w:hAnsi="Arial Unicode MS"/>
          <w:sz w:val="24"/>
          <w:szCs w:val="24"/>
          <w:rtl w:val="0"/>
        </w:rPr>
        <w:t xml:space="preserve">부채비율 : (부채총계 / 자본총계) * 100</w:t>
      </w:r>
    </w:p>
    <w:p w:rsidR="00000000" w:rsidDel="00000000" w:rsidP="00000000" w:rsidRDefault="00000000" w:rsidRPr="00000000" w14:paraId="0000017A">
      <w:pPr>
        <w:rPr>
          <w:sz w:val="24"/>
          <w:szCs w:val="24"/>
        </w:rPr>
      </w:pPr>
      <w:r w:rsidDel="00000000" w:rsidR="00000000" w:rsidRPr="00000000">
        <w:rPr>
          <w:rFonts w:ascii="Arial Unicode MS" w:cs="Arial Unicode MS" w:eastAsia="Arial Unicode MS" w:hAnsi="Arial Unicode MS"/>
          <w:sz w:val="24"/>
          <w:szCs w:val="24"/>
          <w:rtl w:val="0"/>
        </w:rPr>
        <w:t xml:space="preserve">부채비율이 높다는 것은 자기 자본보다 차입한 돈이 더 많다는 것을 뜻한다.</w:t>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pPr>
      <w:r w:rsidDel="00000000" w:rsidR="00000000" w:rsidRPr="00000000">
        <w:rPr>
          <w:rFonts w:ascii="Arial Unicode MS" w:cs="Arial Unicode MS" w:eastAsia="Arial Unicode MS" w:hAnsi="Arial Unicode MS"/>
          <w:sz w:val="24"/>
          <w:szCs w:val="24"/>
          <w:rtl w:val="0"/>
        </w:rPr>
        <w:t xml:space="preserve">그래서 표를 보면, 2016년까지는 유동비율이 높아지면서 좋은 구조를 보이다 2017년에 확 낮아진 것을 볼 수 있다. 그 영향 때문인지 부채비율도 낮은 비율을 유지하다 갑자기 높아지는 것을 확인할 수 있었다.</w:t>
      </w:r>
      <w:r w:rsidDel="00000000" w:rsidR="00000000" w:rsidRPr="00000000">
        <w:rPr>
          <w:rtl w:val="0"/>
        </w:rPr>
      </w:r>
    </w:p>
    <w:p w:rsidR="00000000" w:rsidDel="00000000" w:rsidP="00000000" w:rsidRDefault="00000000" w:rsidRPr="00000000" w14:paraId="0000017D">
      <w:pPr>
        <w:pStyle w:val="Heading1"/>
        <w:numPr>
          <w:ilvl w:val="0"/>
          <w:numId w:val="5"/>
        </w:numPr>
        <w:ind w:left="720" w:hanging="360"/>
        <w:rPr>
          <w:sz w:val="40"/>
          <w:szCs w:val="40"/>
        </w:rPr>
      </w:pPr>
      <w:bookmarkStart w:colFirst="0" w:colLast="0" w:name="_1b7zd32zncy0" w:id="17"/>
      <w:bookmarkEnd w:id="17"/>
      <w:r w:rsidDel="00000000" w:rsidR="00000000" w:rsidRPr="00000000">
        <w:rPr>
          <w:rFonts w:ascii="Arial Unicode MS" w:cs="Arial Unicode MS" w:eastAsia="Arial Unicode MS" w:hAnsi="Arial Unicode MS"/>
          <w:rtl w:val="0"/>
        </w:rPr>
        <w:t xml:space="preserve">수익성 : ROE(자기자본이익률)와 ROIC(투하자본이익률)</w:t>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731200" cy="1943100"/>
            <wp:effectExtent b="0" l="0" r="0" t="0"/>
            <wp:docPr id="13"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Fonts w:ascii="Arial Unicode MS" w:cs="Arial Unicode MS" w:eastAsia="Arial Unicode MS" w:hAnsi="Arial Unicode MS"/>
          <w:rtl w:val="0"/>
        </w:rPr>
        <w:t xml:space="preserve">ROE : (당기순이익 / 자본총계) * 100</w:t>
      </w:r>
    </w:p>
    <w:p w:rsidR="00000000" w:rsidDel="00000000" w:rsidP="00000000" w:rsidRDefault="00000000" w:rsidRPr="00000000" w14:paraId="00000182">
      <w:pPr>
        <w:rPr/>
      </w:pPr>
      <w:r w:rsidDel="00000000" w:rsidR="00000000" w:rsidRPr="00000000">
        <w:rPr>
          <w:rFonts w:ascii="Arial Unicode MS" w:cs="Arial Unicode MS" w:eastAsia="Arial Unicode MS" w:hAnsi="Arial Unicode MS"/>
          <w:rtl w:val="0"/>
        </w:rPr>
        <w:t xml:space="preserve">기업이 자기자본을 활용해 1년간 얼마를 벌어들였는가를 나타내는 수익성 지표</w:t>
      </w:r>
    </w:p>
    <w:p w:rsidR="00000000" w:rsidDel="00000000" w:rsidP="00000000" w:rsidRDefault="00000000" w:rsidRPr="00000000" w14:paraId="00000183">
      <w:pPr>
        <w:rPr/>
      </w:pPr>
      <w:r w:rsidDel="00000000" w:rsidR="00000000" w:rsidRPr="00000000">
        <w:rPr>
          <w:rFonts w:ascii="Arial Unicode MS" w:cs="Arial Unicode MS" w:eastAsia="Arial Unicode MS" w:hAnsi="Arial Unicode MS"/>
          <w:rtl w:val="0"/>
        </w:rPr>
        <w:t xml:space="preserve">ROIC : (세후순영업이익(NOPAT) / 영업투하자본(IC)) * 100</w:t>
      </w:r>
    </w:p>
    <w:p w:rsidR="00000000" w:rsidDel="00000000" w:rsidP="00000000" w:rsidRDefault="00000000" w:rsidRPr="00000000" w14:paraId="00000184">
      <w:pPr>
        <w:rPr/>
      </w:pPr>
      <w:r w:rsidDel="00000000" w:rsidR="00000000" w:rsidRPr="00000000">
        <w:rPr>
          <w:rFonts w:ascii="Arial Unicode MS" w:cs="Arial Unicode MS" w:eastAsia="Arial Unicode MS" w:hAnsi="Arial Unicode MS"/>
          <w:rtl w:val="0"/>
        </w:rPr>
        <w:t xml:space="preserve">영업활동을 위한 자산과 영업활동으로 인한 이익을 가지고 해당 기업의 영업 활동 수익성을 나타내는 지표</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Fonts w:ascii="Arial Unicode MS" w:cs="Arial Unicode MS" w:eastAsia="Arial Unicode MS" w:hAnsi="Arial Unicode MS"/>
          <w:rtl w:val="0"/>
        </w:rPr>
        <w:t xml:space="preserve">마찬가지로 2017년에 감소했다가 다시 회복하는 추세를 보여줌</w:t>
      </w:r>
    </w:p>
    <w:p w:rsidR="00000000" w:rsidDel="00000000" w:rsidP="00000000" w:rsidRDefault="00000000" w:rsidRPr="00000000" w14:paraId="00000187">
      <w:pPr>
        <w:rPr/>
      </w:pPr>
      <w:r w:rsidDel="00000000" w:rsidR="00000000" w:rsidRPr="00000000">
        <w:rPr>
          <w:rFonts w:ascii="Arial Unicode MS" w:cs="Arial Unicode MS" w:eastAsia="Arial Unicode MS" w:hAnsi="Arial Unicode MS"/>
          <w:rtl w:val="0"/>
        </w:rPr>
        <w:t xml:space="preserve">무슨 일이 있었나 찾아보니, 2016년 6월에 주식 뇌물수수 의혹 사건이 있었다는 것을 확인할 수 있었다. 이 사건에서 넥슨 회장인 김정주가 기소를 당하면서 넥슨 경영비리에 관해 수사도 진행되면서 이같은 결과가 나온 것으로 추정된다.</w:t>
      </w:r>
    </w:p>
    <w:p w:rsidR="00000000" w:rsidDel="00000000" w:rsidP="00000000" w:rsidRDefault="00000000" w:rsidRPr="00000000" w14:paraId="00000188">
      <w:pPr>
        <w:pStyle w:val="Heading1"/>
        <w:numPr>
          <w:ilvl w:val="0"/>
          <w:numId w:val="5"/>
        </w:numPr>
        <w:ind w:left="720" w:hanging="360"/>
        <w:rPr>
          <w:sz w:val="40"/>
          <w:szCs w:val="40"/>
        </w:rPr>
      </w:pPr>
      <w:bookmarkStart w:colFirst="0" w:colLast="0" w:name="_19v0kzgdo5cc" w:id="18"/>
      <w:bookmarkEnd w:id="18"/>
      <w:r w:rsidDel="00000000" w:rsidR="00000000" w:rsidRPr="00000000">
        <w:rPr>
          <w:rFonts w:ascii="Arial Unicode MS" w:cs="Arial Unicode MS" w:eastAsia="Arial Unicode MS" w:hAnsi="Arial Unicode MS"/>
          <w:rtl w:val="0"/>
        </w:rPr>
        <w:t xml:space="preserve">수익성 : ROE 정규분포</w:t>
      </w:r>
    </w:p>
    <w:p w:rsidR="00000000" w:rsidDel="00000000" w:rsidP="00000000" w:rsidRDefault="00000000" w:rsidRPr="00000000" w14:paraId="00000189">
      <w:pPr>
        <w:rPr/>
      </w:pPr>
      <w:r w:rsidDel="00000000" w:rsidR="00000000" w:rsidRPr="00000000">
        <w:rPr/>
        <w:drawing>
          <wp:inline distB="114300" distT="114300" distL="114300" distR="114300">
            <wp:extent cx="3752850" cy="2476500"/>
            <wp:effectExtent b="0" l="0" r="0" t="0"/>
            <wp:docPr id="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7528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Fonts w:ascii="Arial Unicode MS" w:cs="Arial Unicode MS" w:eastAsia="Arial Unicode MS" w:hAnsi="Arial Unicode MS"/>
          <w:rtl w:val="0"/>
        </w:rPr>
        <w:t xml:space="preserve">정규분포표를 보면 10%대에 가장 높은 분포를 가지는 것을 확인할 수 있다. 그래서 수익성이 좋아 보이지만, 음수 쪽의 분포가 넓어서 수익성이 유지가 되는 것인지는 말하기 어려운 것 같다.</w:t>
      </w:r>
    </w:p>
    <w:p w:rsidR="00000000" w:rsidDel="00000000" w:rsidP="00000000" w:rsidRDefault="00000000" w:rsidRPr="00000000" w14:paraId="0000018B">
      <w:pPr>
        <w:pStyle w:val="Heading1"/>
        <w:numPr>
          <w:ilvl w:val="0"/>
          <w:numId w:val="5"/>
        </w:numPr>
        <w:ind w:left="720" w:hanging="360"/>
        <w:rPr>
          <w:sz w:val="40"/>
          <w:szCs w:val="40"/>
        </w:rPr>
      </w:pPr>
      <w:bookmarkStart w:colFirst="0" w:colLast="0" w:name="_7c84usde56jn" w:id="19"/>
      <w:bookmarkEnd w:id="19"/>
      <w:r w:rsidDel="00000000" w:rsidR="00000000" w:rsidRPr="00000000">
        <w:rPr>
          <w:rFonts w:ascii="Arial Unicode MS" w:cs="Arial Unicode MS" w:eastAsia="Arial Unicode MS" w:hAnsi="Arial Unicode MS"/>
          <w:rtl w:val="0"/>
        </w:rPr>
        <w:t xml:space="preserve">수익성 : 영업이익률</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drawing>
          <wp:inline distB="114300" distT="114300" distL="114300" distR="114300">
            <wp:extent cx="3743325" cy="2371725"/>
            <wp:effectExtent b="0" l="0" r="0" t="0"/>
            <wp:docPr id="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7433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영업이익률 : (영업이익 / 수익(매출액)) * 100</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2017년부터 영업이익률이 적자 수준까지 갔다가 2020년이 되서야 다시 회복하는 추세를 보이고 있다. “그 사건”의 여파가 어마어마했다는 것을 알 수 있었다.</w:t>
      </w:r>
    </w:p>
    <w:p w:rsidR="00000000" w:rsidDel="00000000" w:rsidP="00000000" w:rsidRDefault="00000000" w:rsidRPr="00000000" w14:paraId="00000191">
      <w:pPr>
        <w:pStyle w:val="Heading1"/>
        <w:numPr>
          <w:ilvl w:val="0"/>
          <w:numId w:val="5"/>
        </w:numPr>
        <w:ind w:left="720" w:hanging="360"/>
        <w:rPr>
          <w:sz w:val="40"/>
          <w:szCs w:val="40"/>
        </w:rPr>
      </w:pPr>
      <w:bookmarkStart w:colFirst="0" w:colLast="0" w:name="_m8r9rfxk254g" w:id="20"/>
      <w:bookmarkEnd w:id="20"/>
      <w:r w:rsidDel="00000000" w:rsidR="00000000" w:rsidRPr="00000000">
        <w:rPr>
          <w:rFonts w:ascii="Arial Unicode MS" w:cs="Arial Unicode MS" w:eastAsia="Arial Unicode MS" w:hAnsi="Arial Unicode MS"/>
          <w:rtl w:val="0"/>
        </w:rPr>
        <w:t xml:space="preserve">수익성 : 매출액증가 및 자기자본증가율</w:t>
      </w:r>
    </w:p>
    <w:p w:rsidR="00000000" w:rsidDel="00000000" w:rsidP="00000000" w:rsidRDefault="00000000" w:rsidRPr="00000000" w14:paraId="00000192">
      <w:pPr>
        <w:rPr/>
      </w:pPr>
      <w:r w:rsidDel="00000000" w:rsidR="00000000" w:rsidRPr="00000000">
        <w:rPr/>
        <w:drawing>
          <wp:inline distB="114300" distT="114300" distL="114300" distR="114300">
            <wp:extent cx="5731200" cy="1498600"/>
            <wp:effectExtent b="0" l="0" r="0" t="0"/>
            <wp:docPr id="11"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Fonts w:ascii="Arial Unicode MS" w:cs="Arial Unicode MS" w:eastAsia="Arial Unicode MS" w:hAnsi="Arial Unicode MS"/>
          <w:rtl w:val="0"/>
        </w:rPr>
        <w:t xml:space="preserve">매출액증가율 : (전기 수익(매출액) / 당기 수익(매출액)) * 100</w:t>
      </w:r>
    </w:p>
    <w:p w:rsidR="00000000" w:rsidDel="00000000" w:rsidP="00000000" w:rsidRDefault="00000000" w:rsidRPr="00000000" w14:paraId="00000195">
      <w:pPr>
        <w:rPr/>
      </w:pPr>
      <w:r w:rsidDel="00000000" w:rsidR="00000000" w:rsidRPr="00000000">
        <w:rPr>
          <w:rFonts w:ascii="Arial Unicode MS" w:cs="Arial Unicode MS" w:eastAsia="Arial Unicode MS" w:hAnsi="Arial Unicode MS"/>
          <w:rtl w:val="0"/>
        </w:rPr>
        <w:t xml:space="preserve">자기자본증가율 : (전기 자본총계 / 당기 자본총계) * 100</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Fonts w:ascii="Arial Unicode MS" w:cs="Arial Unicode MS" w:eastAsia="Arial Unicode MS" w:hAnsi="Arial Unicode MS"/>
          <w:rtl w:val="0"/>
        </w:rPr>
        <w:t xml:space="preserve">매출액증가율은 2012년에 반짝 올랐다가 계속 하락세인 것 같다. “그 사건” 이후 2018년에 매출액증가율 최저치를 찍다가 다시 회복하는 추세지만 그래도 손해를 벗어나지는 않았다.</w:t>
      </w:r>
    </w:p>
    <w:p w:rsidR="00000000" w:rsidDel="00000000" w:rsidP="00000000" w:rsidRDefault="00000000" w:rsidRPr="00000000" w14:paraId="00000198">
      <w:pPr>
        <w:rPr/>
      </w:pPr>
      <w:r w:rsidDel="00000000" w:rsidR="00000000" w:rsidRPr="00000000">
        <w:rPr>
          <w:rFonts w:ascii="Arial Unicode MS" w:cs="Arial Unicode MS" w:eastAsia="Arial Unicode MS" w:hAnsi="Arial Unicode MS"/>
          <w:rtl w:val="0"/>
        </w:rPr>
        <w:t xml:space="preserve">자기자본증가율도 마찬가지로 2017년부터 마이너스를 찍다가 다시 올라가는 추세인 것 같다.</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731200" cy="1943100"/>
            <wp:effectExtent b="0" l="0" r="0" t="0"/>
            <wp:docPr id="2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Fonts w:ascii="Arial Unicode MS" w:cs="Arial Unicode MS" w:eastAsia="Arial Unicode MS" w:hAnsi="Arial Unicode MS"/>
          <w:rtl w:val="0"/>
        </w:rPr>
        <w:t xml:space="preserve">막대그래프로 비교하니 더 확실하게 보인다.</w:t>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매출액증가율은 일정치 않다가 계속 손해를 입고 있는 그림이고 자기자본증가율은 최근들어 다시 원점으로 돌아온 것 같은 그림이다.</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1"/>
        <w:numPr>
          <w:ilvl w:val="0"/>
          <w:numId w:val="5"/>
        </w:numPr>
        <w:ind w:left="720" w:hanging="360"/>
        <w:rPr>
          <w:sz w:val="40"/>
          <w:szCs w:val="40"/>
        </w:rPr>
      </w:pPr>
      <w:bookmarkStart w:colFirst="0" w:colLast="0" w:name="_lb928ilc94uv" w:id="21"/>
      <w:bookmarkEnd w:id="21"/>
      <w:r w:rsidDel="00000000" w:rsidR="00000000" w:rsidRPr="00000000">
        <w:rPr>
          <w:rFonts w:ascii="Arial Unicode MS" w:cs="Arial Unicode MS" w:eastAsia="Arial Unicode MS" w:hAnsi="Arial Unicode MS"/>
          <w:rtl w:val="0"/>
        </w:rPr>
        <w:t xml:space="preserve">결론</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전체적인 그림이 처음엔 상승세를 보이다 한번에 가라앉다 다시 조금씩 올라오는 모습을 보여준다. 꾸준하게 상승하거나 유지하는 그림이 거의 없는 것으로 봐서 넥슨지티에 투자하는 것은 다시 한 번 고려해봐야 한다고 생각한다. 앞으로의 행방에 따라 다시 상승세가 될 지 아니면 다시 하락세가 될 지 달라질 것이라고 보여진다.</w:t>
      </w:r>
    </w:p>
    <w:p w:rsidR="00000000" w:rsidDel="00000000" w:rsidP="00000000" w:rsidRDefault="00000000" w:rsidRPr="00000000" w14:paraId="000001A2">
      <w:pPr>
        <w:widowControl w:val="0"/>
        <w:spacing w:line="240" w:lineRule="auto"/>
        <w:ind w:left="200" w:firstLine="0"/>
        <w:jc w:val="both"/>
        <w:rPr>
          <w:rFonts w:ascii="Malgun Gothic" w:cs="Malgun Gothic" w:eastAsia="Malgun Gothic" w:hAnsi="Malgun Gothic"/>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3">
      <w:pPr>
        <w:spacing w:line="240" w:lineRule="auto"/>
        <w:ind w:left="-15" w:firstLine="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1A4">
      <w:pPr>
        <w:pStyle w:val="Heading1"/>
        <w:keepNext w:val="0"/>
        <w:keepLines w:val="0"/>
        <w:spacing w:after="0" w:line="240" w:lineRule="auto"/>
        <w:ind w:left="-15" w:firstLine="0"/>
        <w:rPr/>
      </w:pPr>
      <w:bookmarkStart w:colFirst="0" w:colLast="0" w:name="_vb8p0lepu9vn" w:id="22"/>
      <w:bookmarkEnd w:id="22"/>
      <w:r w:rsidDel="00000000" w:rsidR="00000000" w:rsidRPr="00000000">
        <w:rPr>
          <w:rFonts w:ascii="Arial Unicode MS" w:cs="Arial Unicode MS" w:eastAsia="Arial Unicode MS" w:hAnsi="Arial Unicode MS"/>
          <w:rtl w:val="0"/>
        </w:rPr>
        <w:t xml:space="preserve">NCSOFT - 주가와 파생지표들의 관계</w:t>
      </w:r>
    </w:p>
    <w:p w:rsidR="00000000" w:rsidDel="00000000" w:rsidP="00000000" w:rsidRDefault="00000000" w:rsidRPr="00000000" w14:paraId="000001A5">
      <w:pPr>
        <w:spacing w:before="60" w:line="360" w:lineRule="auto"/>
        <w:ind w:left="-15" w:firstLine="0"/>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731200" cy="38100"/>
            <wp:effectExtent b="0" l="0" r="0" t="0"/>
            <wp:docPr descr="가로선" id="34" name="image31.png"/>
            <a:graphic>
              <a:graphicData uri="http://schemas.openxmlformats.org/drawingml/2006/picture">
                <pic:pic>
                  <pic:nvPicPr>
                    <pic:cNvPr descr="가로선" id="0" name="image31.png"/>
                    <pic:cNvPicPr preferRelativeResize="0"/>
                  </pic:nvPicPr>
                  <pic:blipFill>
                    <a:blip r:embed="rId42"/>
                    <a:srcRect b="0" l="0" r="0" t="0"/>
                    <a:stretch>
                      <a:fillRect/>
                    </a:stretch>
                  </pic:blipFill>
                  <pic:spPr>
                    <a:xfrm>
                      <a:off x="0" y="0"/>
                      <a:ext cx="57312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1"/>
        <w:keepNext w:val="0"/>
        <w:keepLines w:val="0"/>
        <w:numPr>
          <w:ilvl w:val="0"/>
          <w:numId w:val="9"/>
        </w:numPr>
        <w:spacing w:after="0" w:before="120" w:line="360" w:lineRule="auto"/>
        <w:ind w:left="720" w:hanging="360"/>
        <w:rPr>
          <w:rFonts w:ascii="Open Sans" w:cs="Open Sans" w:eastAsia="Open Sans" w:hAnsi="Open Sans"/>
        </w:rPr>
      </w:pPr>
      <w:bookmarkStart w:colFirst="0" w:colLast="0" w:name="_vydniszftb1n" w:id="23"/>
      <w:bookmarkEnd w:id="23"/>
      <w:r w:rsidDel="00000000" w:rsidR="00000000" w:rsidRPr="00000000">
        <w:rPr>
          <w:rFonts w:ascii="Arial Unicode MS" w:cs="Arial Unicode MS" w:eastAsia="Arial Unicode MS" w:hAnsi="Arial Unicode MS"/>
          <w:sz w:val="22"/>
          <w:szCs w:val="22"/>
          <w:rtl w:val="0"/>
        </w:rPr>
        <w:t xml:space="preserve">파생지표들의 흐름 </w:t>
      </w:r>
    </w:p>
    <w:p w:rsidR="00000000" w:rsidDel="00000000" w:rsidP="00000000" w:rsidRDefault="00000000" w:rsidRPr="00000000" w14:paraId="000001A7">
      <w:pPr>
        <w:pStyle w:val="Heading1"/>
        <w:keepNext w:val="0"/>
        <w:keepLines w:val="0"/>
        <w:spacing w:after="0" w:before="120" w:line="360" w:lineRule="auto"/>
        <w:rPr>
          <w:rFonts w:ascii="Open Sans" w:cs="Open Sans" w:eastAsia="Open Sans" w:hAnsi="Open Sans"/>
          <w:sz w:val="22"/>
          <w:szCs w:val="22"/>
        </w:rPr>
      </w:pPr>
      <w:bookmarkStart w:colFirst="0" w:colLast="0" w:name="_98sx7ewwr3oj" w:id="24"/>
      <w:bookmarkEnd w:id="24"/>
      <w:r w:rsidDel="00000000" w:rsidR="00000000" w:rsidRPr="00000000">
        <w:rPr>
          <w:rFonts w:ascii="Open Sans" w:cs="Open Sans" w:eastAsia="Open Sans" w:hAnsi="Open Sans"/>
          <w:sz w:val="22"/>
          <w:szCs w:val="22"/>
        </w:rPr>
        <w:drawing>
          <wp:inline distB="114300" distT="114300" distL="114300" distR="114300">
            <wp:extent cx="5731200" cy="5435600"/>
            <wp:effectExtent b="0" l="0" r="0" t="0"/>
            <wp:docPr id="37"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주가의 대략적인 흐름과 비슷하면서도 제각기 다른 모양새를 띄고 있습니다</w:t>
      </w:r>
    </w:p>
    <w:p w:rsidR="00000000" w:rsidDel="00000000" w:rsidP="00000000" w:rsidRDefault="00000000" w:rsidRPr="00000000" w14:paraId="000001A9">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AA">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A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AC">
      <w:pPr>
        <w:numPr>
          <w:ilvl w:val="0"/>
          <w:numId w:val="9"/>
        </w:numPr>
        <w:spacing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파생지표들의 수치와 주가 그래프</w:t>
      </w:r>
    </w:p>
    <w:p w:rsidR="00000000" w:rsidDel="00000000" w:rsidP="00000000" w:rsidRDefault="00000000" w:rsidRPr="00000000" w14:paraId="000001A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31200" cy="2425700"/>
            <wp:effectExtent b="0" l="0" r="0" t="0"/>
            <wp:docPr id="35"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1"/>
        <w:keepNext w:val="0"/>
        <w:keepLines w:val="0"/>
        <w:spacing w:after="0" w:before="120" w:line="360" w:lineRule="auto"/>
        <w:rPr>
          <w:rFonts w:ascii="Open Sans" w:cs="Open Sans" w:eastAsia="Open Sans" w:hAnsi="Open Sans"/>
          <w:sz w:val="22"/>
          <w:szCs w:val="22"/>
        </w:rPr>
      </w:pPr>
      <w:bookmarkStart w:colFirst="0" w:colLast="0" w:name="_bubiwzoap616" w:id="25"/>
      <w:bookmarkEnd w:id="25"/>
      <w:r w:rsidDel="00000000" w:rsidR="00000000" w:rsidRPr="00000000">
        <w:rPr>
          <w:rFonts w:ascii="Open Sans" w:cs="Open Sans" w:eastAsia="Open Sans" w:hAnsi="Open Sans"/>
          <w:sz w:val="22"/>
          <w:szCs w:val="22"/>
        </w:rPr>
        <w:drawing>
          <wp:inline distB="114300" distT="114300" distL="114300" distR="114300">
            <wp:extent cx="5731200" cy="2781300"/>
            <wp:effectExtent b="0" l="0" r="0" t="0"/>
            <wp:docPr id="3"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파생지표들과 주가그래프를 보았을 경우 공통된 부분이 한 눈에 들어오지 않습니다</w:t>
      </w:r>
    </w:p>
    <w:p w:rsidR="00000000" w:rsidDel="00000000" w:rsidP="00000000" w:rsidRDefault="00000000" w:rsidRPr="00000000" w14:paraId="000001B0">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가정 1 - 파생지표들로 주가를 예측하려는 행위 자체가 무리</w:t>
      </w:r>
    </w:p>
    <w:p w:rsidR="00000000" w:rsidDel="00000000" w:rsidP="00000000" w:rsidRDefault="00000000" w:rsidRPr="00000000" w14:paraId="000001B1">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가정 2 - 그냥 내가 모르는 것</w:t>
      </w:r>
    </w:p>
    <w:p w:rsidR="00000000" w:rsidDel="00000000" w:rsidP="00000000" w:rsidRDefault="00000000" w:rsidRPr="00000000" w14:paraId="000001B2">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가정 3 - 주가가 상당히 강력한 우상향 차트를 그리고 있는 것으로 보아 만약 재무와</w:t>
      </w:r>
    </w:p>
    <w:p w:rsidR="00000000" w:rsidDel="00000000" w:rsidP="00000000" w:rsidRDefault="00000000" w:rsidRPr="00000000" w14:paraId="000001B3">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               여기서 파생된 지표들이 의미가 있다면 상당히 유리한 수치가 보여 져야 할 것</w:t>
      </w:r>
    </w:p>
    <w:p w:rsidR="00000000" w:rsidDel="00000000" w:rsidP="00000000" w:rsidRDefault="00000000" w:rsidRPr="00000000" w14:paraId="000001B4">
      <w:pPr>
        <w:pStyle w:val="Heading1"/>
        <w:keepNext w:val="0"/>
        <w:keepLines w:val="0"/>
        <w:spacing w:after="0" w:before="120" w:line="360" w:lineRule="auto"/>
        <w:rPr>
          <w:rFonts w:ascii="Open Sans" w:cs="Open Sans" w:eastAsia="Open Sans" w:hAnsi="Open Sans"/>
          <w:sz w:val="22"/>
          <w:szCs w:val="22"/>
        </w:rPr>
      </w:pPr>
      <w:bookmarkStart w:colFirst="0" w:colLast="0" w:name="_fb8i8sa7lri8" w:id="26"/>
      <w:bookmarkEnd w:id="26"/>
      <w:r w:rsidDel="00000000" w:rsidR="00000000" w:rsidRPr="00000000">
        <w:rPr>
          <w:rtl w:val="0"/>
        </w:rPr>
      </w:r>
    </w:p>
    <w:p w:rsidR="00000000" w:rsidDel="00000000" w:rsidP="00000000" w:rsidRDefault="00000000" w:rsidRPr="00000000" w14:paraId="000001B5">
      <w:pPr>
        <w:pStyle w:val="Heading1"/>
        <w:keepNext w:val="0"/>
        <w:keepLines w:val="0"/>
        <w:spacing w:after="0" w:before="120" w:line="360" w:lineRule="auto"/>
        <w:rPr>
          <w:rFonts w:ascii="Open Sans" w:cs="Open Sans" w:eastAsia="Open Sans" w:hAnsi="Open Sans"/>
          <w:sz w:val="22"/>
          <w:szCs w:val="22"/>
        </w:rPr>
      </w:pPr>
      <w:bookmarkStart w:colFirst="0" w:colLast="0" w:name="_g2o0a9md3arq" w:id="27"/>
      <w:bookmarkEnd w:id="27"/>
      <w:r w:rsidDel="00000000" w:rsidR="00000000" w:rsidRPr="00000000">
        <w:rPr>
          <w:rtl w:val="0"/>
        </w:rPr>
      </w:r>
    </w:p>
    <w:p w:rsidR="00000000" w:rsidDel="00000000" w:rsidP="00000000" w:rsidRDefault="00000000" w:rsidRPr="00000000" w14:paraId="000001B6">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테스트용 유동비율과 가격의 그래프</w:t>
      </w:r>
    </w:p>
    <w:p w:rsidR="00000000" w:rsidDel="00000000" w:rsidP="00000000" w:rsidRDefault="00000000" w:rsidRPr="00000000" w14:paraId="000001B7">
      <w:pPr>
        <w:numPr>
          <w:ilvl w:val="0"/>
          <w:numId w:val="24"/>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우상향 하는것으로 보아 연관성이 있어 보이기도 합니다</w:t>
      </w:r>
    </w:p>
    <w:p w:rsidR="00000000" w:rsidDel="00000000" w:rsidP="00000000" w:rsidRDefault="00000000" w:rsidRPr="00000000" w14:paraId="000001B8">
      <w:pPr>
        <w:numPr>
          <w:ilvl w:val="0"/>
          <w:numId w:val="24"/>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하지만 모든 지표가 어느정도 연관성을 갖는 것은 아닐까요??</w:t>
      </w:r>
    </w:p>
    <w:p w:rsidR="00000000" w:rsidDel="00000000" w:rsidP="00000000" w:rsidRDefault="00000000" w:rsidRPr="00000000" w14:paraId="000001B9">
      <w:pPr>
        <w:numPr>
          <w:ilvl w:val="0"/>
          <w:numId w:val="24"/>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결국 다 이렇게 생긴것은 아닌지 나머지도 살펴보겠습니다</w:t>
      </w:r>
    </w:p>
    <w:p w:rsidR="00000000" w:rsidDel="00000000" w:rsidP="00000000" w:rsidRDefault="00000000" w:rsidRPr="00000000" w14:paraId="000001BA">
      <w:pPr>
        <w:pStyle w:val="Heading1"/>
        <w:keepNext w:val="0"/>
        <w:keepLines w:val="0"/>
        <w:spacing w:after="0" w:before="120" w:line="360" w:lineRule="auto"/>
        <w:rPr>
          <w:rFonts w:ascii="Open Sans" w:cs="Open Sans" w:eastAsia="Open Sans" w:hAnsi="Open Sans"/>
          <w:b w:val="1"/>
          <w:sz w:val="32"/>
          <w:szCs w:val="32"/>
        </w:rPr>
      </w:pPr>
      <w:bookmarkStart w:colFirst="0" w:colLast="0" w:name="_zbcicz8ghcy9"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843588" cy="4086225"/>
            <wp:effectExtent b="0" l="0" r="0" t="0"/>
            <wp:wrapSquare wrapText="bothSides" distB="114300" distT="114300" distL="114300" distR="114300"/>
            <wp:docPr id="40"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843588" cy="4086225"/>
                    </a:xfrm>
                    <a:prstGeom prst="rect"/>
                    <a:ln/>
                  </pic:spPr>
                </pic:pic>
              </a:graphicData>
            </a:graphic>
          </wp:anchor>
        </w:drawing>
      </w:r>
    </w:p>
    <w:p w:rsidR="00000000" w:rsidDel="00000000" w:rsidP="00000000" w:rsidRDefault="00000000" w:rsidRPr="00000000" w14:paraId="000001B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C">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E">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F">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0">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1">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2">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테스트용 자기자본증가율과 가격 그래프</w:t>
      </w:r>
    </w:p>
    <w:p w:rsidR="00000000" w:rsidDel="00000000" w:rsidP="00000000" w:rsidRDefault="00000000" w:rsidRPr="00000000" w14:paraId="000001C3">
      <w:pPr>
        <w:numPr>
          <w:ilvl w:val="0"/>
          <w:numId w:val="3"/>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유동비율과는 달리 누가봐도 연관성 없게 생겼습니다</w:t>
      </w:r>
    </w:p>
    <w:p w:rsidR="00000000" w:rsidDel="00000000" w:rsidP="00000000" w:rsidRDefault="00000000" w:rsidRPr="00000000" w14:paraId="000001C4">
      <w:pPr>
        <w:numPr>
          <w:ilvl w:val="0"/>
          <w:numId w:val="3"/>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지표와 가격 연관성의 상하 관계가 존재하는 것으로 보이는데요</w:t>
      </w:r>
    </w:p>
    <w:p w:rsidR="00000000" w:rsidDel="00000000" w:rsidP="00000000" w:rsidRDefault="00000000" w:rsidRPr="00000000" w14:paraId="000001C5">
      <w:pPr>
        <w:numPr>
          <w:ilvl w:val="0"/>
          <w:numId w:val="3"/>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다른 지표들과의 상관관계를 살펴보겠습니다</w:t>
      </w:r>
    </w:p>
    <w:p w:rsidR="00000000" w:rsidDel="00000000" w:rsidP="00000000" w:rsidRDefault="00000000" w:rsidRPr="00000000" w14:paraId="000001C6">
      <w:pPr>
        <w:pStyle w:val="Heading1"/>
        <w:keepNext w:val="0"/>
        <w:keepLines w:val="0"/>
        <w:spacing w:after="0" w:before="120" w:line="360" w:lineRule="auto"/>
        <w:rPr>
          <w:rFonts w:ascii="Open Sans" w:cs="Open Sans" w:eastAsia="Open Sans" w:hAnsi="Open Sans"/>
          <w:sz w:val="22"/>
          <w:szCs w:val="22"/>
        </w:rPr>
      </w:pPr>
      <w:bookmarkStart w:colFirst="0" w:colLast="0" w:name="_t2zdbza2uwj7" w:id="29"/>
      <w:bookmarkEnd w:id="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5395913"/>
            <wp:effectExtent b="0" l="0" r="0" t="0"/>
            <wp:wrapSquare wrapText="bothSides" distB="114300" distT="114300" distL="114300" distR="114300"/>
            <wp:docPr id="45"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5943600" cy="5395913"/>
                    </a:xfrm>
                    <a:prstGeom prst="rect"/>
                    <a:ln/>
                  </pic:spPr>
                </pic:pic>
              </a:graphicData>
            </a:graphic>
          </wp:anchor>
        </w:drawing>
      </w:r>
    </w:p>
    <w:p w:rsidR="00000000" w:rsidDel="00000000" w:rsidP="00000000" w:rsidRDefault="00000000" w:rsidRPr="00000000" w14:paraId="000001C7">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8">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9">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A">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B">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히트맵</w:t>
      </w:r>
    </w:p>
    <w:p w:rsidR="00000000" w:rsidDel="00000000" w:rsidP="00000000" w:rsidRDefault="00000000" w:rsidRPr="00000000" w14:paraId="000001CC">
      <w:pPr>
        <w:numPr>
          <w:ilvl w:val="0"/>
          <w:numId w:val="19"/>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연관성을 한 번에 볼 수 있어 좋습니다</w:t>
      </w:r>
    </w:p>
    <w:p w:rsidR="00000000" w:rsidDel="00000000" w:rsidP="00000000" w:rsidRDefault="00000000" w:rsidRPr="00000000" w14:paraId="000001CD">
      <w:pPr>
        <w:numPr>
          <w:ilvl w:val="0"/>
          <w:numId w:val="19"/>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압도적으로 높은 수치의 지표가 존재하는 것은 아니지만,</w:t>
      </w:r>
    </w:p>
    <w:p w:rsidR="00000000" w:rsidDel="00000000" w:rsidP="00000000" w:rsidRDefault="00000000" w:rsidRPr="00000000" w14:paraId="000001CE">
      <w:pPr>
        <w:numPr>
          <w:ilvl w:val="0"/>
          <w:numId w:val="19"/>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첫 생각과는 달리 의외로 가격과 연관도가 어느정도 있어 보이는 지표들이 보입니다</w:t>
      </w:r>
    </w:p>
    <w:p w:rsidR="00000000" w:rsidDel="00000000" w:rsidP="00000000" w:rsidRDefault="00000000" w:rsidRPr="00000000" w14:paraId="000001CF">
      <w:pPr>
        <w:numPr>
          <w:ilvl w:val="0"/>
          <w:numId w:val="19"/>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유동비율, 부채비율, ROE, ROIC</w:t>
      </w:r>
    </w:p>
    <w:p w:rsidR="00000000" w:rsidDel="00000000" w:rsidP="00000000" w:rsidRDefault="00000000" w:rsidRPr="00000000" w14:paraId="000001D0">
      <w:pPr>
        <w:numPr>
          <w:ilvl w:val="0"/>
          <w:numId w:val="19"/>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이 중에서도 유동비율, ROIC 두 가지를 살펴 보겠습니다</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885825</wp:posOffset>
            </wp:positionV>
            <wp:extent cx="5472113" cy="4543425"/>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472113" cy="4543425"/>
                    </a:xfrm>
                    <a:prstGeom prst="rect"/>
                    <a:ln/>
                  </pic:spPr>
                </pic:pic>
              </a:graphicData>
            </a:graphic>
          </wp:anchor>
        </w:drawing>
      </w:r>
    </w:p>
    <w:p w:rsidR="00000000" w:rsidDel="00000000" w:rsidP="00000000" w:rsidRDefault="00000000" w:rsidRPr="00000000" w14:paraId="000001D1">
      <w:pPr>
        <w:pStyle w:val="Heading1"/>
        <w:keepNext w:val="0"/>
        <w:keepLines w:val="0"/>
        <w:spacing w:after="0" w:before="120" w:line="360" w:lineRule="auto"/>
        <w:rPr>
          <w:rFonts w:ascii="Open Sans" w:cs="Open Sans" w:eastAsia="Open Sans" w:hAnsi="Open Sans"/>
          <w:sz w:val="22"/>
          <w:szCs w:val="22"/>
        </w:rPr>
      </w:pPr>
      <w:bookmarkStart w:colFirst="0" w:colLast="0" w:name="_x33hkofs9ez2" w:id="30"/>
      <w:bookmarkEnd w:id="30"/>
      <w:r w:rsidDel="00000000" w:rsidR="00000000" w:rsidRPr="00000000">
        <w:rPr>
          <w:rtl w:val="0"/>
        </w:rPr>
      </w:r>
    </w:p>
    <w:p w:rsidR="00000000" w:rsidDel="00000000" w:rsidP="00000000" w:rsidRDefault="00000000" w:rsidRPr="00000000" w14:paraId="000001D2">
      <w:pPr>
        <w:pStyle w:val="Heading1"/>
        <w:keepNext w:val="0"/>
        <w:keepLines w:val="0"/>
        <w:spacing w:after="0" w:before="120" w:line="360" w:lineRule="auto"/>
        <w:rPr>
          <w:rFonts w:ascii="Open Sans" w:cs="Open Sans" w:eastAsia="Open Sans" w:hAnsi="Open Sans"/>
          <w:sz w:val="22"/>
          <w:szCs w:val="22"/>
        </w:rPr>
      </w:pPr>
      <w:bookmarkStart w:colFirst="0" w:colLast="0" w:name="_9tertvno4yta" w:id="31"/>
      <w:bookmarkEnd w:id="31"/>
      <w:r w:rsidDel="00000000" w:rsidR="00000000" w:rsidRPr="00000000">
        <w:rPr>
          <w:rtl w:val="0"/>
        </w:rPr>
      </w:r>
    </w:p>
    <w:p w:rsidR="00000000" w:rsidDel="00000000" w:rsidP="00000000" w:rsidRDefault="00000000" w:rsidRPr="00000000" w14:paraId="000001D3">
      <w:pPr>
        <w:pStyle w:val="Heading1"/>
        <w:keepNext w:val="0"/>
        <w:keepLines w:val="0"/>
        <w:spacing w:after="0" w:before="120" w:line="360" w:lineRule="auto"/>
        <w:rPr>
          <w:rFonts w:ascii="Open Sans" w:cs="Open Sans" w:eastAsia="Open Sans" w:hAnsi="Open Sans"/>
          <w:sz w:val="22"/>
          <w:szCs w:val="22"/>
        </w:rPr>
      </w:pPr>
      <w:bookmarkStart w:colFirst="0" w:colLast="0" w:name="_91o4hdonjfzw" w:id="32"/>
      <w:bookmarkEnd w:id="32"/>
      <w:r w:rsidDel="00000000" w:rsidR="00000000" w:rsidRPr="00000000">
        <w:rPr>
          <w:rtl w:val="0"/>
        </w:rPr>
      </w:r>
    </w:p>
    <w:p w:rsidR="00000000" w:rsidDel="00000000" w:rsidP="00000000" w:rsidRDefault="00000000" w:rsidRPr="00000000" w14:paraId="000001D4">
      <w:pPr>
        <w:pStyle w:val="Heading1"/>
        <w:keepNext w:val="0"/>
        <w:keepLines w:val="0"/>
        <w:spacing w:after="0" w:before="120" w:line="360" w:lineRule="auto"/>
        <w:rPr>
          <w:rFonts w:ascii="Open Sans" w:cs="Open Sans" w:eastAsia="Open Sans" w:hAnsi="Open Sans"/>
          <w:sz w:val="22"/>
          <w:szCs w:val="22"/>
        </w:rPr>
      </w:pPr>
      <w:bookmarkStart w:colFirst="0" w:colLast="0" w:name="_clhqva1yd0" w:id="33"/>
      <w:bookmarkEnd w:id="33"/>
      <w:r w:rsidDel="00000000" w:rsidR="00000000" w:rsidRPr="00000000">
        <w:rPr>
          <w:rtl w:val="0"/>
        </w:rPr>
      </w:r>
    </w:p>
    <w:p w:rsidR="00000000" w:rsidDel="00000000" w:rsidP="00000000" w:rsidRDefault="00000000" w:rsidRPr="00000000" w14:paraId="000001D5">
      <w:pPr>
        <w:pStyle w:val="Heading1"/>
        <w:keepNext w:val="0"/>
        <w:keepLines w:val="0"/>
        <w:spacing w:after="0" w:before="120" w:line="360" w:lineRule="auto"/>
        <w:rPr>
          <w:rFonts w:ascii="Open Sans" w:cs="Open Sans" w:eastAsia="Open Sans" w:hAnsi="Open Sans"/>
          <w:sz w:val="22"/>
          <w:szCs w:val="22"/>
        </w:rPr>
      </w:pPr>
      <w:bookmarkStart w:colFirst="0" w:colLast="0" w:name="_qy62t8v7vtkm" w:id="34"/>
      <w:bookmarkEnd w:id="34"/>
      <w:r w:rsidDel="00000000" w:rsidR="00000000" w:rsidRPr="00000000">
        <w:rPr>
          <w:rtl w:val="0"/>
        </w:rPr>
      </w:r>
    </w:p>
    <w:p w:rsidR="00000000" w:rsidDel="00000000" w:rsidP="00000000" w:rsidRDefault="00000000" w:rsidRPr="00000000" w14:paraId="000001D6">
      <w:pPr>
        <w:pStyle w:val="Heading1"/>
        <w:keepNext w:val="0"/>
        <w:keepLines w:val="0"/>
        <w:spacing w:after="0" w:before="120" w:line="360" w:lineRule="auto"/>
        <w:rPr>
          <w:rFonts w:ascii="Open Sans" w:cs="Open Sans" w:eastAsia="Open Sans" w:hAnsi="Open Sans"/>
          <w:sz w:val="22"/>
          <w:szCs w:val="22"/>
        </w:rPr>
      </w:pPr>
      <w:bookmarkStart w:colFirst="0" w:colLast="0" w:name="_2020b0e6qe2l" w:id="35"/>
      <w:bookmarkEnd w:id="35"/>
      <w:r w:rsidDel="00000000" w:rsidR="00000000" w:rsidRPr="00000000">
        <w:rPr>
          <w:rtl w:val="0"/>
        </w:rPr>
      </w:r>
    </w:p>
    <w:p w:rsidR="00000000" w:rsidDel="00000000" w:rsidP="00000000" w:rsidRDefault="00000000" w:rsidRPr="00000000" w14:paraId="000001D7">
      <w:pPr>
        <w:pStyle w:val="Heading1"/>
        <w:keepNext w:val="0"/>
        <w:keepLines w:val="0"/>
        <w:spacing w:after="0" w:before="120" w:line="360" w:lineRule="auto"/>
        <w:rPr>
          <w:rFonts w:ascii="Open Sans" w:cs="Open Sans" w:eastAsia="Open Sans" w:hAnsi="Open Sans"/>
          <w:sz w:val="22"/>
          <w:szCs w:val="22"/>
        </w:rPr>
      </w:pPr>
      <w:bookmarkStart w:colFirst="0" w:colLast="0" w:name="_p6hmijat6ty2" w:id="36"/>
      <w:bookmarkEnd w:id="36"/>
      <w:r w:rsidDel="00000000" w:rsidR="00000000" w:rsidRPr="00000000">
        <w:rPr>
          <w:rtl w:val="0"/>
        </w:rPr>
      </w:r>
    </w:p>
    <w:p w:rsidR="00000000" w:rsidDel="00000000" w:rsidP="00000000" w:rsidRDefault="00000000" w:rsidRPr="00000000" w14:paraId="000001D8">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9">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A">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C">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D">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E">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DF">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0">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1">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2">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3">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유동비율과 가격</w:t>
      </w:r>
    </w:p>
    <w:p w:rsidR="00000000" w:rsidDel="00000000" w:rsidP="00000000" w:rsidRDefault="00000000" w:rsidRPr="00000000" w14:paraId="000001E4">
      <w:pPr>
        <w:numPr>
          <w:ilvl w:val="0"/>
          <w:numId w:val="11"/>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유동비율이 클 수록 재무 유동성이 커집니다</w:t>
      </w:r>
    </w:p>
    <w:p w:rsidR="00000000" w:rsidDel="00000000" w:rsidP="00000000" w:rsidRDefault="00000000" w:rsidRPr="00000000" w14:paraId="000001E5">
      <w:pPr>
        <w:numPr>
          <w:ilvl w:val="0"/>
          <w:numId w:val="11"/>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예를들어 유동비율이 150% 라면 1년간의 부채를 다 갚고도 50%가 남는다는 의미입니다</w:t>
      </w:r>
    </w:p>
    <w:p w:rsidR="00000000" w:rsidDel="00000000" w:rsidP="00000000" w:rsidRDefault="00000000" w:rsidRPr="00000000" w14:paraId="000001E6">
      <w:pPr>
        <w:numPr>
          <w:ilvl w:val="0"/>
          <w:numId w:val="11"/>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반대로 유동비율이 50%라면 현금성 자산을 다 팔아도 1년간의 부채조차 갚지 못 한다는 의미입니다</w:t>
      </w:r>
    </w:p>
    <w:p w:rsidR="00000000" w:rsidDel="00000000" w:rsidP="00000000" w:rsidRDefault="00000000" w:rsidRPr="00000000" w14:paraId="000001E7">
      <w:pPr>
        <w:numPr>
          <w:ilvl w:val="0"/>
          <w:numId w:val="11"/>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2019년 이전에는 큰 관련성이 없어 보이나, 2019년 이후로는 같이 상승을 하고 있습니다</w:t>
      </w:r>
    </w:p>
    <w:p w:rsidR="00000000" w:rsidDel="00000000" w:rsidP="00000000" w:rsidRDefault="00000000" w:rsidRPr="00000000" w14:paraId="000001E8">
      <w:pPr>
        <w:pStyle w:val="Heading1"/>
        <w:keepNext w:val="0"/>
        <w:keepLines w:val="0"/>
        <w:spacing w:after="0" w:before="120" w:line="360" w:lineRule="auto"/>
        <w:rPr>
          <w:rFonts w:ascii="Open Sans" w:cs="Open Sans" w:eastAsia="Open Sans" w:hAnsi="Open Sans"/>
          <w:sz w:val="22"/>
          <w:szCs w:val="22"/>
        </w:rPr>
      </w:pPr>
      <w:bookmarkStart w:colFirst="0" w:colLast="0" w:name="_ty4skftykflg" w:id="37"/>
      <w:bookmarkEnd w:id="37"/>
      <w:r w:rsidDel="00000000" w:rsidR="00000000" w:rsidRPr="00000000">
        <w:rPr>
          <w:rFonts w:ascii="Open Sans" w:cs="Open Sans" w:eastAsia="Open Sans" w:hAnsi="Open Sans"/>
          <w:sz w:val="22"/>
          <w:szCs w:val="22"/>
        </w:rPr>
        <w:drawing>
          <wp:inline distB="114300" distT="114300" distL="114300" distR="114300">
            <wp:extent cx="5731200" cy="3594100"/>
            <wp:effectExtent b="0" l="0" r="0" t="0"/>
            <wp:docPr id="18"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Style w:val="Heading1"/>
        <w:keepNext w:val="0"/>
        <w:keepLines w:val="0"/>
        <w:spacing w:after="0" w:before="120" w:line="360" w:lineRule="auto"/>
        <w:rPr>
          <w:rFonts w:ascii="Open Sans" w:cs="Open Sans" w:eastAsia="Open Sans" w:hAnsi="Open Sans"/>
          <w:sz w:val="22"/>
          <w:szCs w:val="22"/>
        </w:rPr>
      </w:pPr>
      <w:bookmarkStart w:colFirst="0" w:colLast="0" w:name="_clgd90m6z5hh" w:id="38"/>
      <w:bookmarkEnd w:id="38"/>
      <w:r w:rsidDel="00000000" w:rsidR="00000000" w:rsidRPr="00000000">
        <w:rPr>
          <w:rtl w:val="0"/>
        </w:rPr>
      </w:r>
    </w:p>
    <w:p w:rsidR="00000000" w:rsidDel="00000000" w:rsidP="00000000" w:rsidRDefault="00000000" w:rsidRPr="00000000" w14:paraId="000001EA">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C">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D">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E">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F">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0">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ROIC와 가격</w:t>
      </w:r>
    </w:p>
    <w:p w:rsidR="00000000" w:rsidDel="00000000" w:rsidP="00000000" w:rsidRDefault="00000000" w:rsidRPr="00000000" w14:paraId="000001F1">
      <w:pPr>
        <w:numPr>
          <w:ilvl w:val="0"/>
          <w:numId w:val="8"/>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실제 영업활동에 투입한 자산대비 영업이익을 나타내는 지표입니다</w:t>
      </w:r>
    </w:p>
    <w:p w:rsidR="00000000" w:rsidDel="00000000" w:rsidP="00000000" w:rsidRDefault="00000000" w:rsidRPr="00000000" w14:paraId="000001F2">
      <w:pPr>
        <w:numPr>
          <w:ilvl w:val="0"/>
          <w:numId w:val="8"/>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해당 기업의 수익창출 능력을 측정하는 데 사용됩니다</w:t>
      </w:r>
    </w:p>
    <w:p w:rsidR="00000000" w:rsidDel="00000000" w:rsidP="00000000" w:rsidRDefault="00000000" w:rsidRPr="00000000" w14:paraId="000001F3">
      <w:pPr>
        <w:numPr>
          <w:ilvl w:val="0"/>
          <w:numId w:val="8"/>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ROIC의 경우는 2016 - 2019년 까지, 그리고</w:t>
      </w:r>
    </w:p>
    <w:p w:rsidR="00000000" w:rsidDel="00000000" w:rsidP="00000000" w:rsidRDefault="00000000" w:rsidRPr="00000000" w14:paraId="000001F4">
      <w:pPr>
        <w:numPr>
          <w:ilvl w:val="0"/>
          <w:numId w:val="8"/>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2020년 이후로 관련성이 있어보입니다</w:t>
      </w:r>
    </w:p>
    <w:p w:rsidR="00000000" w:rsidDel="00000000" w:rsidP="00000000" w:rsidRDefault="00000000" w:rsidRPr="00000000" w14:paraId="000001F5">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6">
      <w:pPr>
        <w:pStyle w:val="Heading1"/>
        <w:keepNext w:val="0"/>
        <w:keepLines w:val="0"/>
        <w:spacing w:after="0" w:before="120" w:line="360" w:lineRule="auto"/>
        <w:rPr>
          <w:rFonts w:ascii="Open Sans" w:cs="Open Sans" w:eastAsia="Open Sans" w:hAnsi="Open Sans"/>
          <w:sz w:val="22"/>
          <w:szCs w:val="22"/>
        </w:rPr>
      </w:pPr>
      <w:bookmarkStart w:colFirst="0" w:colLast="0" w:name="_t9wwhotio8md" w:id="39"/>
      <w:bookmarkEnd w:id="3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759200"/>
            <wp:effectExtent b="0" l="0" r="0" t="0"/>
            <wp:wrapSquare wrapText="bothSides" distB="114300" distT="114300" distL="114300" distR="114300"/>
            <wp:docPr id="46" name="image59.png"/>
            <a:graphic>
              <a:graphicData uri="http://schemas.openxmlformats.org/drawingml/2006/picture">
                <pic:pic>
                  <pic:nvPicPr>
                    <pic:cNvPr id="0" name="image59.png"/>
                    <pic:cNvPicPr preferRelativeResize="0"/>
                  </pic:nvPicPr>
                  <pic:blipFill>
                    <a:blip r:embed="rId50"/>
                    <a:srcRect b="0" l="0" r="0" t="0"/>
                    <a:stretch>
                      <a:fillRect/>
                    </a:stretch>
                  </pic:blipFill>
                  <pic:spPr>
                    <a:xfrm>
                      <a:off x="0" y="0"/>
                      <a:ext cx="5943600" cy="3759200"/>
                    </a:xfrm>
                    <a:prstGeom prst="rect"/>
                    <a:ln/>
                  </pic:spPr>
                </pic:pic>
              </a:graphicData>
            </a:graphic>
          </wp:anchor>
        </w:drawing>
      </w:r>
    </w:p>
    <w:p w:rsidR="00000000" w:rsidDel="00000000" w:rsidP="00000000" w:rsidRDefault="00000000" w:rsidRPr="00000000" w14:paraId="000001F7">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8">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9">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A">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B">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C">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D">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결국 반 만 맞았다</w:t>
      </w:r>
    </w:p>
    <w:p w:rsidR="00000000" w:rsidDel="00000000" w:rsidP="00000000" w:rsidRDefault="00000000" w:rsidRPr="00000000" w14:paraId="000001FE">
      <w:pPr>
        <w:numPr>
          <w:ilvl w:val="0"/>
          <w:numId w:val="23"/>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연관성이 있어 보이는 지표조차도 결국 반은 맞고 반은 달랐습니다</w:t>
      </w:r>
    </w:p>
    <w:p w:rsidR="00000000" w:rsidDel="00000000" w:rsidP="00000000" w:rsidRDefault="00000000" w:rsidRPr="00000000" w14:paraId="000001FF">
      <w:pPr>
        <w:numPr>
          <w:ilvl w:val="0"/>
          <w:numId w:val="23"/>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하지만 대략적인 추이 라도 알 수 있다면 살펴볼 가치가 있겠습니다</w:t>
      </w:r>
    </w:p>
    <w:p w:rsidR="00000000" w:rsidDel="00000000" w:rsidP="00000000" w:rsidRDefault="00000000" w:rsidRPr="00000000" w14:paraId="00000200">
      <w:pPr>
        <w:numPr>
          <w:ilvl w:val="0"/>
          <w:numId w:val="23"/>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해당 지표들이 다른 종목들에서도 이정도의 연관성을 가지는 지 확인해보겠습니다</w:t>
      </w:r>
    </w:p>
    <w:p w:rsidR="00000000" w:rsidDel="00000000" w:rsidP="00000000" w:rsidRDefault="00000000" w:rsidRPr="00000000" w14:paraId="00000201">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02">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삼성전자</w:t>
      </w:r>
    </w:p>
    <w:p w:rsidR="00000000" w:rsidDel="00000000" w:rsidP="00000000" w:rsidRDefault="00000000" w:rsidRPr="00000000" w14:paraId="00000203">
      <w:pPr>
        <w:numPr>
          <w:ilvl w:val="0"/>
          <w:numId w:val="4"/>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유동비율, 영업이익률과 관계가 있습니다</w:t>
      </w:r>
    </w:p>
    <w:p w:rsidR="00000000" w:rsidDel="00000000" w:rsidP="00000000" w:rsidRDefault="00000000" w:rsidRPr="00000000" w14:paraId="00000204">
      <w:pPr>
        <w:numPr>
          <w:ilvl w:val="0"/>
          <w:numId w:val="4"/>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nc soft 때처럼 ROIC는 전혀 관련이 없는 모양입니다</w:t>
      </w:r>
    </w:p>
    <w:p w:rsidR="00000000" w:rsidDel="00000000" w:rsidP="00000000" w:rsidRDefault="00000000" w:rsidRPr="00000000" w14:paraId="00000205">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6">
      <w:pPr>
        <w:spacing w:before="200" w:line="360" w:lineRule="auto"/>
        <w:ind w:left="1440" w:firstLine="0"/>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152400</wp:posOffset>
            </wp:positionV>
            <wp:extent cx="5943600" cy="4432300"/>
            <wp:effectExtent b="0" l="0" r="0" t="0"/>
            <wp:wrapSquare wrapText="bothSides" distB="114300" distT="114300" distL="114300" distR="114300"/>
            <wp:docPr id="39"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4432300"/>
                    </a:xfrm>
                    <a:prstGeom prst="rect"/>
                    <a:ln/>
                  </pic:spPr>
                </pic:pic>
              </a:graphicData>
            </a:graphic>
          </wp:anchor>
        </w:drawing>
      </w:r>
    </w:p>
    <w:p w:rsidR="00000000" w:rsidDel="00000000" w:rsidP="00000000" w:rsidRDefault="00000000" w:rsidRPr="00000000" w14:paraId="00000207">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8">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9">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sk 하이닉스 </w:t>
      </w:r>
    </w:p>
    <w:p w:rsidR="00000000" w:rsidDel="00000000" w:rsidP="00000000" w:rsidRDefault="00000000" w:rsidRPr="00000000" w14:paraId="0000020A">
      <w:pPr>
        <w:numPr>
          <w:ilvl w:val="0"/>
          <w:numId w:val="7"/>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영업이익률과 연관이 있어 보입니다</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981075</wp:posOffset>
            </wp:positionV>
            <wp:extent cx="5943600" cy="4495800"/>
            <wp:effectExtent b="0" l="0" r="0" t="0"/>
            <wp:wrapSquare wrapText="bothSides" distB="114300" distT="114300" distL="114300" distR="114300"/>
            <wp:docPr id="53" name="image57.png"/>
            <a:graphic>
              <a:graphicData uri="http://schemas.openxmlformats.org/drawingml/2006/picture">
                <pic:pic>
                  <pic:nvPicPr>
                    <pic:cNvPr id="0" name="image57.png"/>
                    <pic:cNvPicPr preferRelativeResize="0"/>
                  </pic:nvPicPr>
                  <pic:blipFill>
                    <a:blip r:embed="rId52"/>
                    <a:srcRect b="0" l="0" r="0" t="0"/>
                    <a:stretch>
                      <a:fillRect/>
                    </a:stretch>
                  </pic:blipFill>
                  <pic:spPr>
                    <a:xfrm>
                      <a:off x="0" y="0"/>
                      <a:ext cx="5943600" cy="4495800"/>
                    </a:xfrm>
                    <a:prstGeom prst="rect"/>
                    <a:ln/>
                  </pic:spPr>
                </pic:pic>
              </a:graphicData>
            </a:graphic>
          </wp:anchor>
        </w:drawing>
      </w:r>
    </w:p>
    <w:p w:rsidR="00000000" w:rsidDel="00000000" w:rsidP="00000000" w:rsidRDefault="00000000" w:rsidRPr="00000000" w14:paraId="0000020B">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C">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D">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E">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F">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0">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1">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2">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3">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네이버</w:t>
      </w:r>
    </w:p>
    <w:p w:rsidR="00000000" w:rsidDel="00000000" w:rsidP="00000000" w:rsidRDefault="00000000" w:rsidRPr="00000000" w14:paraId="00000214">
      <w:pPr>
        <w:numPr>
          <w:ilvl w:val="0"/>
          <w:numId w:val="12"/>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모든 수치가 거의 연관성이 없습니다</w:t>
      </w:r>
    </w:p>
    <w:p w:rsidR="00000000" w:rsidDel="00000000" w:rsidP="00000000" w:rsidRDefault="00000000" w:rsidRPr="00000000" w14:paraId="00000215">
      <w:pPr>
        <w:numPr>
          <w:ilvl w:val="0"/>
          <w:numId w:val="12"/>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그나마 매출액 증가율 정도가 있어 보입니다</w:t>
      </w:r>
    </w:p>
    <w:p w:rsidR="00000000" w:rsidDel="00000000" w:rsidP="00000000" w:rsidRDefault="00000000" w:rsidRPr="00000000" w14:paraId="00000216">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17">
      <w:pPr>
        <w:spacing w:before="200" w:line="360" w:lineRule="auto"/>
        <w:ind w:left="1440" w:firstLine="0"/>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123825</wp:posOffset>
            </wp:positionV>
            <wp:extent cx="5943600" cy="4432300"/>
            <wp:effectExtent b="0" l="0" r="0" t="0"/>
            <wp:wrapSquare wrapText="bothSides" distB="114300" distT="114300" distL="114300" distR="114300"/>
            <wp:docPr id="51"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5943600" cy="4432300"/>
                    </a:xfrm>
                    <a:prstGeom prst="rect"/>
                    <a:ln/>
                  </pic:spPr>
                </pic:pic>
              </a:graphicData>
            </a:graphic>
          </wp:anchor>
        </w:drawing>
      </w:r>
    </w:p>
    <w:p w:rsidR="00000000" w:rsidDel="00000000" w:rsidP="00000000" w:rsidRDefault="00000000" w:rsidRPr="00000000" w14:paraId="00000218">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9">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A">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B">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C">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D">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E">
      <w:pPr>
        <w:numPr>
          <w:ilvl w:val="0"/>
          <w:numId w:val="9"/>
        </w:numPr>
        <w:spacing w:after="0" w:afterAutospacing="0" w:before="20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넥슨지티</w:t>
      </w:r>
    </w:p>
    <w:p w:rsidR="00000000" w:rsidDel="00000000" w:rsidP="00000000" w:rsidRDefault="00000000" w:rsidRPr="00000000" w14:paraId="0000021F">
      <w:pPr>
        <w:numPr>
          <w:ilvl w:val="0"/>
          <w:numId w:val="14"/>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역시 연관성이 있어 보이는 수치는 없는 것 같습니다</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1838325</wp:posOffset>
            </wp:positionV>
            <wp:extent cx="5943600" cy="4432300"/>
            <wp:effectExtent b="0" l="0" r="0" t="0"/>
            <wp:wrapSquare wrapText="bothSides" distB="114300" distT="114300" distL="114300" distR="114300"/>
            <wp:docPr id="50"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5943600" cy="4432300"/>
                    </a:xfrm>
                    <a:prstGeom prst="rect"/>
                    <a:ln/>
                  </pic:spPr>
                </pic:pic>
              </a:graphicData>
            </a:graphic>
          </wp:anchor>
        </w:drawing>
      </w:r>
    </w:p>
    <w:p w:rsidR="00000000" w:rsidDel="00000000" w:rsidP="00000000" w:rsidRDefault="00000000" w:rsidRPr="00000000" w14:paraId="00000220">
      <w:pPr>
        <w:numPr>
          <w:ilvl w:val="0"/>
          <w:numId w:val="14"/>
        </w:numPr>
        <w:spacing w:after="0" w:afterAutospacing="0"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부채비율이 연관성이 있다고 볼 수 있는 지표인지 모르겠습니다</w:t>
      </w:r>
    </w:p>
    <w:p w:rsidR="00000000" w:rsidDel="00000000" w:rsidP="00000000" w:rsidRDefault="00000000" w:rsidRPr="00000000" w14:paraId="00000221">
      <w:pPr>
        <w:numPr>
          <w:ilvl w:val="0"/>
          <w:numId w:val="14"/>
        </w:numPr>
        <w:spacing w:before="0" w:beforeAutospacing="0" w:line="360" w:lineRule="auto"/>
        <w:ind w:left="144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일단 모든 수치가 안좋게 나오는 상황입니다</w:t>
      </w:r>
    </w:p>
    <w:p w:rsidR="00000000" w:rsidDel="00000000" w:rsidP="00000000" w:rsidRDefault="00000000" w:rsidRPr="00000000" w14:paraId="00000222">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3">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4">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5">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6">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7">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8">
      <w:pPr>
        <w:spacing w:before="200" w:line="360"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9">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arolcxe0i15c" w:id="40"/>
      <w:bookmarkEnd w:id="40"/>
      <w:r w:rsidDel="00000000" w:rsidR="00000000" w:rsidRPr="00000000">
        <w:rPr>
          <w:rFonts w:ascii="Arial Unicode MS" w:cs="Arial Unicode MS" w:eastAsia="Arial Unicode MS" w:hAnsi="Arial Unicode MS"/>
          <w:b w:val="1"/>
          <w:sz w:val="32"/>
          <w:szCs w:val="32"/>
          <w:rtl w:val="0"/>
        </w:rPr>
        <w:t xml:space="preserve">결론</w:t>
      </w:r>
    </w:p>
    <w:p w:rsidR="00000000" w:rsidDel="00000000" w:rsidP="00000000" w:rsidRDefault="00000000" w:rsidRPr="00000000" w14:paraId="0000022A">
      <w:pPr>
        <w:numPr>
          <w:ilvl w:val="0"/>
          <w:numId w:val="1"/>
        </w:numPr>
        <w:spacing w:after="0" w:afterAutospacing="0" w:before="200" w:line="360" w:lineRule="auto"/>
        <w:ind w:left="720" w:hanging="360"/>
        <w:rPr>
          <w:rFonts w:ascii="Open Sans" w:cs="Open Sans" w:eastAsia="Open Sans" w:hAnsi="Open Sans"/>
          <w:b w:val="1"/>
        </w:rPr>
      </w:pPr>
      <w:r w:rsidDel="00000000" w:rsidR="00000000" w:rsidRPr="00000000">
        <w:rPr>
          <w:rFonts w:ascii="Arial Unicode MS" w:cs="Arial Unicode MS" w:eastAsia="Arial Unicode MS" w:hAnsi="Arial Unicode MS"/>
          <w:rtl w:val="0"/>
        </w:rPr>
        <w:t xml:space="preserve">어떠한 종목에 대해 충분히 신빙성 있는 근거로 삼을만한 지표는 없었습니다</w:t>
      </w:r>
    </w:p>
    <w:p w:rsidR="00000000" w:rsidDel="00000000" w:rsidP="00000000" w:rsidRDefault="00000000" w:rsidRPr="00000000" w14:paraId="0000022B">
      <w:pPr>
        <w:numPr>
          <w:ilvl w:val="0"/>
          <w:numId w:val="1"/>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또한 그나마라도 연관성이 있는 지표조차도 다른 종목들을 설명할 수 없었습니다</w:t>
      </w:r>
    </w:p>
    <w:p w:rsidR="00000000" w:rsidDel="00000000" w:rsidP="00000000" w:rsidRDefault="00000000" w:rsidRPr="00000000" w14:paraId="0000022C">
      <w:pPr>
        <w:numPr>
          <w:ilvl w:val="0"/>
          <w:numId w:val="1"/>
        </w:numPr>
        <w:spacing w:before="0" w:beforeAutospacing="0" w:line="360" w:lineRule="auto"/>
        <w:ind w:left="720" w:hanging="36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그렇다고 하더라도 해당 지표들이 무의미 하다고 또한 단언할 수 없습니다</w:t>
      </w:r>
    </w:p>
    <w:p w:rsidR="00000000" w:rsidDel="00000000" w:rsidP="00000000" w:rsidRDefault="00000000" w:rsidRPr="00000000" w14:paraId="0000022D">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2E">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la5jp5tnimjw" w:id="41"/>
      <w:bookmarkEnd w:id="41"/>
      <w:r w:rsidDel="00000000" w:rsidR="00000000" w:rsidRPr="00000000">
        <w:rPr>
          <w:rFonts w:ascii="Arial Unicode MS" w:cs="Arial Unicode MS" w:eastAsia="Arial Unicode MS" w:hAnsi="Arial Unicode MS"/>
          <w:b w:val="1"/>
          <w:sz w:val="26"/>
          <w:szCs w:val="26"/>
          <w:rtl w:val="0"/>
        </w:rPr>
        <w:t xml:space="preserve">표현의 한계</w:t>
      </w:r>
    </w:p>
    <w:p w:rsidR="00000000" w:rsidDel="00000000" w:rsidP="00000000" w:rsidRDefault="00000000" w:rsidRPr="00000000" w14:paraId="0000022F">
      <w:pPr>
        <w:spacing w:before="200" w:line="36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네이버에 검색만 하면 쏟아져 나오는게 PER, ROE 등등의 지표들입니다</w:t>
      </w:r>
    </w:p>
    <w:p w:rsidR="00000000" w:rsidDel="00000000" w:rsidP="00000000" w:rsidRDefault="00000000" w:rsidRPr="00000000" w14:paraId="00000230">
      <w:pPr>
        <w:spacing w:before="200" w:line="36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하지만 이번 프로젝트에서는 재무제표 데이터만 가지고 스스로 몇 가지의 지표들을</w:t>
      </w:r>
    </w:p>
    <w:p w:rsidR="00000000" w:rsidDel="00000000" w:rsidP="00000000" w:rsidRDefault="00000000" w:rsidRPr="00000000" w14:paraId="00000231">
      <w:pPr>
        <w:spacing w:before="200" w:line="36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직접 만들어 보는 시간을 가졌습니다</w:t>
      </w:r>
    </w:p>
    <w:p w:rsidR="00000000" w:rsidDel="00000000" w:rsidP="00000000" w:rsidRDefault="00000000" w:rsidRPr="00000000" w14:paraId="00000232">
      <w:pPr>
        <w:spacing w:before="200" w:line="360" w:lineRule="auto"/>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간단한 계산으로도 쉽게 나올 것 같았던 수치들이 잘 나오지 않는 것에 어려움이 많았습니다</w:t>
      </w:r>
    </w:p>
    <w:p w:rsidR="00000000" w:rsidDel="00000000" w:rsidP="00000000" w:rsidRDefault="00000000" w:rsidRPr="00000000" w14:paraId="00000233">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34">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m8iimuc11ozk" w:id="42"/>
      <w:bookmarkEnd w:id="42"/>
      <w:r w:rsidDel="00000000" w:rsidR="00000000" w:rsidRPr="00000000">
        <w:rPr>
          <w:rFonts w:ascii="Arial Unicode MS" w:cs="Arial Unicode MS" w:eastAsia="Arial Unicode MS" w:hAnsi="Arial Unicode MS"/>
          <w:b w:val="1"/>
          <w:color w:val="8c7252"/>
          <w:sz w:val="24"/>
          <w:szCs w:val="24"/>
          <w:rtl w:val="0"/>
        </w:rPr>
        <w:t xml:space="preserve">해석의 한계</w:t>
      </w:r>
    </w:p>
    <w:p w:rsidR="00000000" w:rsidDel="00000000" w:rsidP="00000000" w:rsidRDefault="00000000" w:rsidRPr="00000000" w14:paraId="00000235">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애초에 엔씨소프트 종목에 대해 ROIC 수치가 관련성이 있다고 판단하여, 나머지 종목들에 대해서도 비슷한 수준의 관련도가 있는지 알아본 실험입니다</w:t>
      </w:r>
    </w:p>
    <w:p w:rsidR="00000000" w:rsidDel="00000000" w:rsidP="00000000" w:rsidRDefault="00000000" w:rsidRPr="00000000" w14:paraId="00000236">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하지만 ROIC수치는 구하기가 정말 너무도 어려웠고, 심지어 수치를 제공해주는 업체들에서도 수치가 제각각 이어서 어디에 기준을 맞춰야 할 지 판단하기 어려웠습니다</w:t>
      </w:r>
    </w:p>
    <w:p w:rsidR="00000000" w:rsidDel="00000000" w:rsidP="00000000" w:rsidRDefault="00000000" w:rsidRPr="00000000" w14:paraId="00000237">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이는 재무 관련 지식이 부족하여 분석 및 판단을 제대로 하지 못 한 증거라 생각됩니다</w:t>
      </w:r>
    </w:p>
    <w:p w:rsidR="00000000" w:rsidDel="00000000" w:rsidP="00000000" w:rsidRDefault="00000000" w:rsidRPr="00000000" w14:paraId="00000238">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결국 여기에 쓰인 가공된 데이터 지표들은 세부적으로 네이버에서 제공되는 수치와 다른 것이 많습니다</w:t>
      </w:r>
    </w:p>
    <w:p w:rsidR="00000000" w:rsidDel="00000000" w:rsidP="00000000" w:rsidRDefault="00000000" w:rsidRPr="00000000" w14:paraId="00000239">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하지만 이번 프로젝트에서 데이터의 일관성을 유지하기 위해 매번 같은 방식으로의 계산을 진행했습니다</w:t>
      </w:r>
    </w:p>
    <w:p w:rsidR="00000000" w:rsidDel="00000000" w:rsidP="00000000" w:rsidRDefault="00000000" w:rsidRPr="00000000" w14:paraId="0000023A">
      <w:pPr>
        <w:spacing w:before="200" w:line="360" w:lineRule="auto"/>
        <w:ind w:left="-15" w:firstLine="0"/>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큰 의미있는 지표를 찾아내지 못했지만, 신발에 발을 끼워 맞추는 어거지식의 분석이 되어버렸기에 해당 지표들이 쓸모없다 라는 식의 결론을 내리는 것 또한 무리가 있습니다</w:t>
      </w:r>
    </w:p>
    <w:p w:rsidR="00000000" w:rsidDel="00000000" w:rsidP="00000000" w:rsidRDefault="00000000" w:rsidRPr="00000000" w14:paraId="0000023B">
      <w:pPr>
        <w:widowControl w:val="0"/>
        <w:spacing w:line="240" w:lineRule="auto"/>
        <w:ind w:left="200" w:firstLine="0"/>
        <w:jc w:val="both"/>
        <w:rPr>
          <w:rFonts w:ascii="Malgun Gothic" w:cs="Malgun Gothic" w:eastAsia="Malgun Gothic" w:hAnsi="Malgun Gothic"/>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jc w:val="center"/>
        <w:rPr/>
      </w:pPr>
      <w:bookmarkStart w:colFirst="0" w:colLast="0" w:name="_ab3qrc813en" w:id="43"/>
      <w:bookmarkEnd w:id="43"/>
      <w:r w:rsidDel="00000000" w:rsidR="00000000" w:rsidRPr="00000000">
        <w:rPr>
          <w:rFonts w:ascii="Arial Unicode MS" w:cs="Arial Unicode MS" w:eastAsia="Arial Unicode MS" w:hAnsi="Arial Unicode MS"/>
          <w:rtl w:val="0"/>
        </w:rPr>
        <w:t xml:space="preserve">반도체 회사 비교 및 분석</w:t>
      </w:r>
    </w:p>
    <w:p w:rsidR="00000000" w:rsidDel="00000000" w:rsidP="00000000" w:rsidRDefault="00000000" w:rsidRPr="00000000" w14:paraId="0000023D">
      <w:pPr>
        <w:jc w:val="center"/>
        <w:rPr>
          <w:sz w:val="60"/>
          <w:szCs w:val="60"/>
        </w:rPr>
      </w:pPr>
      <w:r w:rsidDel="00000000" w:rsidR="00000000" w:rsidRPr="00000000">
        <w:rPr>
          <w:rtl w:val="0"/>
        </w:rPr>
      </w:r>
    </w:p>
    <w:p w:rsidR="00000000" w:rsidDel="00000000" w:rsidP="00000000" w:rsidRDefault="00000000" w:rsidRPr="00000000" w14:paraId="0000023E">
      <w:pPr>
        <w:jc w:val="center"/>
        <w:rPr>
          <w:sz w:val="60"/>
          <w:szCs w:val="60"/>
        </w:rPr>
      </w:pPr>
      <w:r w:rsidDel="00000000" w:rsidR="00000000" w:rsidRPr="00000000">
        <w:rPr>
          <w:rtl w:val="0"/>
        </w:rPr>
      </w:r>
    </w:p>
    <w:p w:rsidR="00000000" w:rsidDel="00000000" w:rsidP="00000000" w:rsidRDefault="00000000" w:rsidRPr="00000000" w14:paraId="0000023F">
      <w:pPr>
        <w:jc w:val="center"/>
        <w:rPr>
          <w:sz w:val="60"/>
          <w:szCs w:val="60"/>
        </w:rPr>
      </w:pPr>
      <w:r w:rsidDel="00000000" w:rsidR="00000000" w:rsidRPr="00000000">
        <w:rPr>
          <w:sz w:val="60"/>
          <w:szCs w:val="60"/>
        </w:rPr>
        <w:drawing>
          <wp:inline distB="114300" distT="114300" distL="114300" distR="114300">
            <wp:extent cx="1577903" cy="938213"/>
            <wp:effectExtent b="0" l="0" r="0" t="0"/>
            <wp:docPr id="31"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1577903" cy="93821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center"/>
        <w:rPr>
          <w:sz w:val="60"/>
          <w:szCs w:val="60"/>
        </w:rPr>
      </w:pPr>
      <w:r w:rsidDel="00000000" w:rsidR="00000000" w:rsidRPr="00000000">
        <w:rPr>
          <w:rtl w:val="0"/>
        </w:rPr>
      </w:r>
    </w:p>
    <w:p w:rsidR="00000000" w:rsidDel="00000000" w:rsidP="00000000" w:rsidRDefault="00000000" w:rsidRPr="00000000" w14:paraId="00000241">
      <w:pPr>
        <w:jc w:val="center"/>
        <w:rPr>
          <w:sz w:val="60"/>
          <w:szCs w:val="60"/>
        </w:rPr>
      </w:pPr>
      <w:r w:rsidDel="00000000" w:rsidR="00000000" w:rsidRPr="00000000">
        <w:rPr>
          <w:sz w:val="60"/>
          <w:szCs w:val="60"/>
        </w:rPr>
        <w:drawing>
          <wp:inline distB="114300" distT="114300" distL="114300" distR="114300">
            <wp:extent cx="1800000" cy="538356"/>
            <wp:effectExtent b="0" l="0" r="0" t="0"/>
            <wp:docPr id="52"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1800000" cy="538356"/>
                    </a:xfrm>
                    <a:prstGeom prst="rect"/>
                    <a:ln/>
                  </pic:spPr>
                </pic:pic>
              </a:graphicData>
            </a:graphic>
          </wp:inline>
        </w:drawing>
      </w:r>
      <w:r w:rsidDel="00000000" w:rsidR="00000000" w:rsidRPr="00000000">
        <w:rPr>
          <w:sz w:val="60"/>
          <w:szCs w:val="60"/>
          <w:rtl w:val="0"/>
        </w:rPr>
        <w:t xml:space="preserve">              </w:t>
      </w:r>
      <w:r w:rsidDel="00000000" w:rsidR="00000000" w:rsidRPr="00000000">
        <w:rPr>
          <w:sz w:val="60"/>
          <w:szCs w:val="60"/>
        </w:rPr>
        <w:drawing>
          <wp:inline distB="114300" distT="114300" distL="114300" distR="114300">
            <wp:extent cx="1800000" cy="824884"/>
            <wp:effectExtent b="0" l="0" r="0" t="0"/>
            <wp:docPr id="30"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1800000" cy="824884"/>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3">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4">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5">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6">
      <w:pPr>
        <w:jc w:val="center"/>
        <w:rPr>
          <w:rFonts w:ascii="Malgun Gothic" w:cs="Malgun Gothic" w:eastAsia="Malgun Gothic" w:hAnsi="Malgun Gothic"/>
          <w:b w:val="1"/>
          <w:sz w:val="36"/>
          <w:szCs w:val="36"/>
        </w:rPr>
      </w:pPr>
      <w:r w:rsidDel="00000000" w:rsidR="00000000" w:rsidRPr="00000000">
        <w:rPr>
          <w:rFonts w:ascii="Malgun Gothic" w:cs="Malgun Gothic" w:eastAsia="Malgun Gothic" w:hAnsi="Malgun Gothic"/>
          <w:b w:val="1"/>
          <w:sz w:val="36"/>
          <w:szCs w:val="36"/>
          <w:rtl w:val="0"/>
        </w:rPr>
        <w:t xml:space="preserve">반도체 산업군 SK hynix, 삼성전자, DB의 </w:t>
      </w:r>
    </w:p>
    <w:p w:rsidR="00000000" w:rsidDel="00000000" w:rsidP="00000000" w:rsidRDefault="00000000" w:rsidRPr="00000000" w14:paraId="00000247">
      <w:pPr>
        <w:jc w:val="center"/>
        <w:rPr>
          <w:rFonts w:ascii="Malgun Gothic" w:cs="Malgun Gothic" w:eastAsia="Malgun Gothic" w:hAnsi="Malgun Gothic"/>
          <w:b w:val="1"/>
          <w:sz w:val="36"/>
          <w:szCs w:val="36"/>
        </w:rPr>
      </w:pPr>
      <w:r w:rsidDel="00000000" w:rsidR="00000000" w:rsidRPr="00000000">
        <w:rPr>
          <w:rFonts w:ascii="Malgun Gothic" w:cs="Malgun Gothic" w:eastAsia="Malgun Gothic" w:hAnsi="Malgun Gothic"/>
          <w:b w:val="1"/>
          <w:sz w:val="36"/>
          <w:szCs w:val="36"/>
          <w:rtl w:val="0"/>
        </w:rPr>
        <w:t xml:space="preserve">2011년 ~ 2020년 재무제표를 비교 및 분석한다.</w:t>
      </w:r>
    </w:p>
    <w:p w:rsidR="00000000" w:rsidDel="00000000" w:rsidP="00000000" w:rsidRDefault="00000000" w:rsidRPr="00000000" w14:paraId="00000248">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9">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A">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B">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C">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D">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E">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4F">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50">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51">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52">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53">
      <w:pPr>
        <w:jc w:val="both"/>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tl w:val="0"/>
        </w:rPr>
        <w:t xml:space="preserve">[1] 안정성지표</w:t>
      </w:r>
    </w:p>
    <w:p w:rsidR="00000000" w:rsidDel="00000000" w:rsidP="00000000" w:rsidRDefault="00000000" w:rsidRPr="00000000" w14:paraId="00000254">
      <w:pPr>
        <w:numPr>
          <w:ilvl w:val="0"/>
          <w:numId w:val="21"/>
        </w:numPr>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유동비율</w:t>
      </w:r>
    </w:p>
    <w:p w:rsidR="00000000" w:rsidDel="00000000" w:rsidP="00000000" w:rsidRDefault="00000000" w:rsidRPr="00000000" w14:paraId="00000255">
      <w:pPr>
        <w:ind w:left="720" w:firstLine="0"/>
        <w:jc w:val="both"/>
        <w:rPr>
          <w:rFonts w:ascii="Malgun Gothic" w:cs="Malgun Gothic" w:eastAsia="Malgun Gothic" w:hAnsi="Malgun Gothic"/>
          <w:b w:val="1"/>
        </w:rPr>
      </w:pPr>
      <w:r w:rsidDel="00000000" w:rsidR="00000000" w:rsidRPr="00000000">
        <w:rPr>
          <w:rtl w:val="0"/>
        </w:rPr>
      </w:r>
    </w:p>
    <w:p w:rsidR="00000000" w:rsidDel="00000000" w:rsidP="00000000" w:rsidRDefault="00000000" w:rsidRPr="00000000" w14:paraId="00000256">
      <w:pPr>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4680000" cy="2574000"/>
            <wp:effectExtent b="0" l="0" r="0" t="0"/>
            <wp:docPr id="17"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4680000" cy="25740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58">
      <w:pPr>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3개 회사 모두 유동부채를 감당할 수 있는 유동비율이 우상향하는 추세를 보인다. </w:t>
      </w:r>
    </w:p>
    <w:p w:rsidR="00000000" w:rsidDel="00000000" w:rsidP="00000000" w:rsidRDefault="00000000" w:rsidRPr="00000000" w14:paraId="00000259">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5A">
      <w:pPr>
        <w:numPr>
          <w:ilvl w:val="0"/>
          <w:numId w:val="21"/>
        </w:numPr>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부채비율</w:t>
      </w:r>
    </w:p>
    <w:p w:rsidR="00000000" w:rsidDel="00000000" w:rsidP="00000000" w:rsidRDefault="00000000" w:rsidRPr="00000000" w14:paraId="0000025B">
      <w:pPr>
        <w:ind w:left="720" w:firstLine="0"/>
        <w:jc w:val="both"/>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tl w:val="0"/>
        </w:rPr>
        <w:t xml:space="preserve">DB의 높은 부채비율(700%)로 인해 이중 축을 나눈 것에 주의한다.</w:t>
      </w:r>
    </w:p>
    <w:p w:rsidR="00000000" w:rsidDel="00000000" w:rsidP="00000000" w:rsidRDefault="00000000" w:rsidRPr="00000000" w14:paraId="0000025C">
      <w:pPr>
        <w:jc w:val="center"/>
        <w:rPr>
          <w:rFonts w:ascii="Malgun Gothic" w:cs="Malgun Gothic" w:eastAsia="Malgun Gothic" w:hAnsi="Malgun Gothic"/>
          <w:sz w:val="18"/>
          <w:szCs w:val="18"/>
        </w:rPr>
      </w:pPr>
      <w:r w:rsidDel="00000000" w:rsidR="00000000" w:rsidRPr="00000000">
        <w:rPr>
          <w:rFonts w:ascii="Malgun Gothic" w:cs="Malgun Gothic" w:eastAsia="Malgun Gothic" w:hAnsi="Malgun Gothic"/>
          <w:sz w:val="18"/>
          <w:szCs w:val="18"/>
        </w:rPr>
        <w:drawing>
          <wp:inline distB="114300" distT="114300" distL="114300" distR="114300">
            <wp:extent cx="5040000" cy="2448000"/>
            <wp:effectExtent b="0" l="0" r="0" t="0"/>
            <wp:docPr id="26"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5040000" cy="24480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jc w:val="both"/>
        <w:rPr>
          <w:rFonts w:ascii="Malgun Gothic" w:cs="Malgun Gothic" w:eastAsia="Malgun Gothic" w:hAnsi="Malgun Gothic"/>
          <w:sz w:val="18"/>
          <w:szCs w:val="18"/>
        </w:rPr>
      </w:pPr>
      <w:r w:rsidDel="00000000" w:rsidR="00000000" w:rsidRPr="00000000">
        <w:rPr>
          <w:rtl w:val="0"/>
        </w:rPr>
      </w:r>
    </w:p>
    <w:p w:rsidR="00000000" w:rsidDel="00000000" w:rsidP="00000000" w:rsidRDefault="00000000" w:rsidRPr="00000000" w14:paraId="0000025E">
      <w:pPr>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과거부터 꾸준히 성장해온 삼성전자는 부채비율이 일정하다. 반면, hynix는 현대 그룹에서 분리되어 SK그룹에 인수된 만큼 초기 부채비율이 상당했던 것으로 보인다. DB는 2014년 부채비율이 무려 700%를 기록하며 2조원의 부채가 있었다. 하지만 사업구조 개편 효과에 주목해보자. 2013년 중국시장 진출을 시작으로 국내 비중을 줄이고, 해외시장 공략에 나선 성과가 2019년에 안정적인 부채비율을 보인다.</w:t>
      </w:r>
    </w:p>
    <w:p w:rsidR="00000000" w:rsidDel="00000000" w:rsidP="00000000" w:rsidRDefault="00000000" w:rsidRPr="00000000" w14:paraId="0000025F">
      <w:pPr>
        <w:jc w:val="both"/>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tl w:val="0"/>
        </w:rPr>
        <w:t xml:space="preserve">[2] 수익성지표</w:t>
      </w:r>
    </w:p>
    <w:p w:rsidR="00000000" w:rsidDel="00000000" w:rsidP="00000000" w:rsidRDefault="00000000" w:rsidRPr="00000000" w14:paraId="00000260">
      <w:pPr>
        <w:numPr>
          <w:ilvl w:val="0"/>
          <w:numId w:val="15"/>
        </w:numPr>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ROE</w:t>
      </w:r>
    </w:p>
    <w:p w:rsidR="00000000" w:rsidDel="00000000" w:rsidP="00000000" w:rsidRDefault="00000000" w:rsidRPr="00000000" w14:paraId="00000261">
      <w:pPr>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4680000" cy="2620800"/>
            <wp:effectExtent b="0" l="0" r="0" t="0"/>
            <wp:docPr id="20"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4680000" cy="2620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63">
      <w:pPr>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hynix와 삼성전자는 꾸준한 ROE를 보이는 반면, DB는 2013년 중국 및 글로벌 시장 공략에 나선 성과가 2015년부터 높은 수익성을 기록했다. 이후로 안정적인 ROE를 보여준다.</w:t>
      </w:r>
    </w:p>
    <w:p w:rsidR="00000000" w:rsidDel="00000000" w:rsidP="00000000" w:rsidRDefault="00000000" w:rsidRPr="00000000" w14:paraId="00000264">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65">
      <w:pPr>
        <w:numPr>
          <w:ilvl w:val="0"/>
          <w:numId w:val="15"/>
        </w:numPr>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ROIC</w:t>
      </w:r>
    </w:p>
    <w:p w:rsidR="00000000" w:rsidDel="00000000" w:rsidP="00000000" w:rsidRDefault="00000000" w:rsidRPr="00000000" w14:paraId="00000266">
      <w:pPr>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4680000" cy="2592814"/>
            <wp:effectExtent b="0" l="0" r="0" t="0"/>
            <wp:docPr id="4"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4680000" cy="2592814"/>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68">
      <w:pPr>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영업투하자본을 고려한 ROIC는 hynix와 DB보다 삼성전자가 압도적인 수치를 보여준다. 같은 액수의 영업자산을 투자하여 다른 기업보다 더 많은 수익을 올리고 있다는 의미가 되므로 삼성전자의 실제 영업 능력이 우수하다고 판단된다. 아무래도 소비자에게 직접 판매하는 디지털프라자, 하이마트 등이 차별화된 요소가 아닐까 생각된다.</w:t>
      </w:r>
    </w:p>
    <w:p w:rsidR="00000000" w:rsidDel="00000000" w:rsidP="00000000" w:rsidRDefault="00000000" w:rsidRPr="00000000" w14:paraId="00000269">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6A">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6B">
      <w:pPr>
        <w:numPr>
          <w:ilvl w:val="0"/>
          <w:numId w:val="15"/>
        </w:numPr>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영업이익률</w:t>
      </w:r>
    </w:p>
    <w:p w:rsidR="00000000" w:rsidDel="00000000" w:rsidP="00000000" w:rsidRDefault="00000000" w:rsidRPr="00000000" w14:paraId="0000026C">
      <w:pPr>
        <w:ind w:left="720" w:firstLine="0"/>
        <w:jc w:val="both"/>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26D">
      <w:pPr>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4680000" cy="2620800"/>
            <wp:effectExtent b="0" l="0" r="0" t="0"/>
            <wp:docPr id="8"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4680000" cy="26208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6F">
      <w:pPr>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역시 탄탄한 재무구조를 갖는 삼성전자는 꾸준한 영업이익률을 기록했다. hynix는 2019년 미-중 무역전쟁의 여파로 영업이익률 실적이 전기보다 감소한 것으로 보인다. 다행히 꾸준한 수요 덕분에 마이너스는 면했다. DB는 사업구조 개편으로 인해 영업이익률이 지속적으로 증가했다.</w:t>
      </w:r>
    </w:p>
    <w:p w:rsidR="00000000" w:rsidDel="00000000" w:rsidP="00000000" w:rsidRDefault="00000000" w:rsidRPr="00000000" w14:paraId="00000270">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1">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2">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3">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4">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5">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6">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7">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8">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9">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A">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B">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C">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D">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E">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7F">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0">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1">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2">
      <w:pPr>
        <w:jc w:val="both"/>
        <w:rPr>
          <w:rFonts w:ascii="Malgun Gothic" w:cs="Malgun Gothic" w:eastAsia="Malgun Gothic" w:hAnsi="Malgun Gothic"/>
          <w:b w:val="1"/>
          <w:sz w:val="28"/>
          <w:szCs w:val="28"/>
        </w:rPr>
      </w:pPr>
      <w:r w:rsidDel="00000000" w:rsidR="00000000" w:rsidRPr="00000000">
        <w:rPr>
          <w:rFonts w:ascii="Malgun Gothic" w:cs="Malgun Gothic" w:eastAsia="Malgun Gothic" w:hAnsi="Malgun Gothic"/>
          <w:b w:val="1"/>
          <w:sz w:val="28"/>
          <w:szCs w:val="28"/>
          <w:rtl w:val="0"/>
        </w:rPr>
        <w:t xml:space="preserve">[4] 성장성지표</w:t>
      </w:r>
    </w:p>
    <w:p w:rsidR="00000000" w:rsidDel="00000000" w:rsidP="00000000" w:rsidRDefault="00000000" w:rsidRPr="00000000" w14:paraId="00000283">
      <w:pPr>
        <w:numPr>
          <w:ilvl w:val="0"/>
          <w:numId w:val="20"/>
        </w:numPr>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매출액 증가율</w:t>
      </w:r>
    </w:p>
    <w:p w:rsidR="00000000" w:rsidDel="00000000" w:rsidP="00000000" w:rsidRDefault="00000000" w:rsidRPr="00000000" w14:paraId="00000284">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5">
      <w:pPr>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4680000" cy="2620800"/>
            <wp:effectExtent b="0" l="0" r="0" t="0"/>
            <wp:docPr id="14"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4680000" cy="26208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7">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8">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9">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A">
      <w:pPr>
        <w:numPr>
          <w:ilvl w:val="0"/>
          <w:numId w:val="20"/>
        </w:numPr>
        <w:ind w:left="720" w:hanging="360"/>
        <w:jc w:val="both"/>
        <w:rPr>
          <w:rFonts w:ascii="Malgun Gothic" w:cs="Malgun Gothic" w:eastAsia="Malgun Gothic" w:hAnsi="Malgun Gothic"/>
          <w:b w:val="1"/>
        </w:rPr>
      </w:pPr>
      <w:r w:rsidDel="00000000" w:rsidR="00000000" w:rsidRPr="00000000">
        <w:rPr>
          <w:rFonts w:ascii="Malgun Gothic" w:cs="Malgun Gothic" w:eastAsia="Malgun Gothic" w:hAnsi="Malgun Gothic"/>
          <w:b w:val="1"/>
          <w:rtl w:val="0"/>
        </w:rPr>
        <w:t xml:space="preserve">자기자본 증가율</w:t>
      </w:r>
    </w:p>
    <w:p w:rsidR="00000000" w:rsidDel="00000000" w:rsidP="00000000" w:rsidRDefault="00000000" w:rsidRPr="00000000" w14:paraId="0000028B">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C">
      <w:pPr>
        <w:jc w:val="cente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Pr>
        <w:drawing>
          <wp:inline distB="114300" distT="114300" distL="114300" distR="114300">
            <wp:extent cx="4680000" cy="2574000"/>
            <wp:effectExtent b="0" l="0" r="0" t="0"/>
            <wp:docPr id="15"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4680000" cy="2574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jc w:val="both"/>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28E">
      <w:pPr>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DB는 2013년 경영악화로 많은 양의 부채를 떠안게 되었지만, 2015년 경영실적 완화로 인해 흑자로 전환된 기간에 가장 높은 자기자본 증가율을 기록했다.</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ulimche"/>
  <w:font w:name="Malgun Gothic"/>
  <w:font w:name="Dotumche"/>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31.png"/><Relationship Id="rId41" Type="http://schemas.openxmlformats.org/officeDocument/2006/relationships/image" Target="media/image21.png"/><Relationship Id="rId44" Type="http://schemas.openxmlformats.org/officeDocument/2006/relationships/image" Target="media/image34.png"/><Relationship Id="rId43" Type="http://schemas.openxmlformats.org/officeDocument/2006/relationships/image" Target="media/image36.png"/><Relationship Id="rId46" Type="http://schemas.openxmlformats.org/officeDocument/2006/relationships/image" Target="media/image45.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8.png"/><Relationship Id="rId47" Type="http://schemas.openxmlformats.org/officeDocument/2006/relationships/image" Target="media/image56.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8.png"/><Relationship Id="rId8" Type="http://schemas.openxmlformats.org/officeDocument/2006/relationships/image" Target="media/image53.png"/><Relationship Id="rId31" Type="http://schemas.openxmlformats.org/officeDocument/2006/relationships/image" Target="media/image6.png"/><Relationship Id="rId30" Type="http://schemas.openxmlformats.org/officeDocument/2006/relationships/image" Target="media/image1.png"/><Relationship Id="rId33" Type="http://schemas.openxmlformats.org/officeDocument/2006/relationships/image" Target="media/image22.png"/><Relationship Id="rId32" Type="http://schemas.openxmlformats.org/officeDocument/2006/relationships/image" Target="media/image30.png"/><Relationship Id="rId35" Type="http://schemas.openxmlformats.org/officeDocument/2006/relationships/image" Target="media/image33.png"/><Relationship Id="rId34" Type="http://schemas.openxmlformats.org/officeDocument/2006/relationships/image" Target="media/image2.png"/><Relationship Id="rId37" Type="http://schemas.openxmlformats.org/officeDocument/2006/relationships/image" Target="media/image12.png"/><Relationship Id="rId36" Type="http://schemas.openxmlformats.org/officeDocument/2006/relationships/image" Target="media/image41.png"/><Relationship Id="rId39" Type="http://schemas.openxmlformats.org/officeDocument/2006/relationships/image" Target="media/image10.png"/><Relationship Id="rId38" Type="http://schemas.openxmlformats.org/officeDocument/2006/relationships/image" Target="media/image7.png"/><Relationship Id="rId62" Type="http://schemas.openxmlformats.org/officeDocument/2006/relationships/image" Target="media/image9.png"/><Relationship Id="rId61" Type="http://schemas.openxmlformats.org/officeDocument/2006/relationships/image" Target="media/image19.png"/><Relationship Id="rId20" Type="http://schemas.openxmlformats.org/officeDocument/2006/relationships/image" Target="media/image46.png"/><Relationship Id="rId64" Type="http://schemas.openxmlformats.org/officeDocument/2006/relationships/image" Target="media/image11.png"/><Relationship Id="rId63" Type="http://schemas.openxmlformats.org/officeDocument/2006/relationships/image" Target="media/image17.png"/><Relationship Id="rId22" Type="http://schemas.openxmlformats.org/officeDocument/2006/relationships/image" Target="media/image47.png"/><Relationship Id="rId21" Type="http://schemas.openxmlformats.org/officeDocument/2006/relationships/image" Target="media/image51.png"/><Relationship Id="rId24" Type="http://schemas.openxmlformats.org/officeDocument/2006/relationships/image" Target="media/image43.png"/><Relationship Id="rId23" Type="http://schemas.openxmlformats.org/officeDocument/2006/relationships/image" Target="media/image3.png"/><Relationship Id="rId60"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25.png"/><Relationship Id="rId28" Type="http://schemas.openxmlformats.org/officeDocument/2006/relationships/image" Target="media/image20.png"/><Relationship Id="rId27" Type="http://schemas.openxmlformats.org/officeDocument/2006/relationships/image" Target="media/image23.png"/><Relationship Id="rId29" Type="http://schemas.openxmlformats.org/officeDocument/2006/relationships/image" Target="media/image42.png"/><Relationship Id="rId51" Type="http://schemas.openxmlformats.org/officeDocument/2006/relationships/image" Target="media/image38.png"/><Relationship Id="rId50" Type="http://schemas.openxmlformats.org/officeDocument/2006/relationships/image" Target="media/image59.png"/><Relationship Id="rId53" Type="http://schemas.openxmlformats.org/officeDocument/2006/relationships/image" Target="media/image58.png"/><Relationship Id="rId52" Type="http://schemas.openxmlformats.org/officeDocument/2006/relationships/image" Target="media/image57.png"/><Relationship Id="rId11" Type="http://schemas.openxmlformats.org/officeDocument/2006/relationships/image" Target="media/image16.png"/><Relationship Id="rId55" Type="http://schemas.openxmlformats.org/officeDocument/2006/relationships/image" Target="media/image27.png"/><Relationship Id="rId10" Type="http://schemas.openxmlformats.org/officeDocument/2006/relationships/image" Target="media/image40.png"/><Relationship Id="rId54" Type="http://schemas.openxmlformats.org/officeDocument/2006/relationships/image" Target="media/image54.png"/><Relationship Id="rId13" Type="http://schemas.openxmlformats.org/officeDocument/2006/relationships/image" Target="media/image26.png"/><Relationship Id="rId57" Type="http://schemas.openxmlformats.org/officeDocument/2006/relationships/image" Target="media/image24.png"/><Relationship Id="rId12" Type="http://schemas.openxmlformats.org/officeDocument/2006/relationships/image" Target="media/image35.png"/><Relationship Id="rId56" Type="http://schemas.openxmlformats.org/officeDocument/2006/relationships/image" Target="media/image44.png"/><Relationship Id="rId15" Type="http://schemas.openxmlformats.org/officeDocument/2006/relationships/image" Target="media/image15.png"/><Relationship Id="rId59" Type="http://schemas.openxmlformats.org/officeDocument/2006/relationships/image" Target="media/image32.png"/><Relationship Id="rId14" Type="http://schemas.openxmlformats.org/officeDocument/2006/relationships/image" Target="media/image49.png"/><Relationship Id="rId58" Type="http://schemas.openxmlformats.org/officeDocument/2006/relationships/image" Target="media/image14.png"/><Relationship Id="rId17" Type="http://schemas.openxmlformats.org/officeDocument/2006/relationships/image" Target="media/image39.png"/><Relationship Id="rId16" Type="http://schemas.openxmlformats.org/officeDocument/2006/relationships/image" Target="media/image55.png"/><Relationship Id="rId19" Type="http://schemas.openxmlformats.org/officeDocument/2006/relationships/image" Target="media/image52.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