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sz w:val="32"/>
        </w:rPr>
      </w:pPr>
      <w:r>
        <w:rPr>
          <w:rFonts w:hint="eastAsia" w:ascii="宋体" w:hAnsi="宋体" w:eastAsia="宋体" w:cs="宋体"/>
          <w:b/>
          <w:sz w:val="32"/>
        </w:rPr>
        <w:t>20</w:t>
      </w:r>
      <w:r>
        <w:rPr>
          <w:rFonts w:ascii="宋体" w:hAnsi="宋体" w:eastAsia="宋体" w:cs="宋体"/>
          <w:b/>
          <w:sz w:val="32"/>
        </w:rPr>
        <w:t>2</w:t>
      </w:r>
      <w:r>
        <w:rPr>
          <w:rFonts w:hint="eastAsia" w:ascii="宋体" w:hAnsi="宋体" w:eastAsia="宋体" w:cs="宋体"/>
          <w:b/>
          <w:sz w:val="32"/>
        </w:rPr>
        <w:t>1学年暑期托管服务收费通知</w:t>
      </w:r>
    </w:p>
    <w:p>
      <w:pPr>
        <w:jc w:val="right"/>
      </w:pPr>
      <w:r>
        <w:rPr>
          <w:rFonts w:hint="eastAsia" w:ascii="宋体" w:hAnsi="宋体" w:eastAsia="宋体" w:cs="宋体"/>
          <w:b w:val="0"/>
          <w:sz w:val="28"/>
        </w:rPr>
        <w:t>——</w:t>
      </w:r>
      <w:r>
        <w:rPr>
          <w:rFonts w:hint="eastAsia" w:ascii="宋体" w:hAnsi="宋体" w:eastAsia="宋体" w:cs="宋体"/>
          <w:b w:val="0"/>
          <w:sz w:val="28"/>
          <w:lang w:val="en-US" w:eastAsia="zh-CN"/>
        </w:rPr>
        <w:t>金达路</w:t>
      </w:r>
      <w:r>
        <w:rPr>
          <w:rFonts w:hint="eastAsia" w:ascii="宋体" w:hAnsi="宋体" w:eastAsia="宋体" w:cs="宋体"/>
          <w:b w:val="0"/>
          <w:sz w:val="28"/>
        </w:rPr>
        <w:t>校区</w:t>
      </w:r>
      <w:r>
        <w:rPr>
          <w:rFonts w:hint="eastAsia" w:ascii="宋体" w:hAnsi="宋体" w:eastAsia="宋体" w:cs="宋体"/>
          <w:b w:val="0"/>
          <w:sz w:val="28"/>
          <w:lang w:val="en-US" w:eastAsia="zh-CN"/>
        </w:rPr>
        <w:t>二</w:t>
      </w:r>
      <w:r>
        <w:rPr>
          <w:rFonts w:hint="eastAsia" w:ascii="宋体" w:hAnsi="宋体" w:eastAsia="宋体" w:cs="宋体"/>
          <w:b w:val="0"/>
          <w:sz w:val="28"/>
        </w:rPr>
        <w:t>年级</w:t>
      </w:r>
      <w:r>
        <w:rPr>
          <w:rFonts w:hint="eastAsia" w:ascii="宋体" w:hAnsi="宋体" w:eastAsia="宋体" w:cs="宋体"/>
          <w:b w:val="0"/>
          <w:sz w:val="28"/>
          <w:lang w:val="en-US" w:eastAsia="zh-CN"/>
        </w:rPr>
        <w:t>211-215</w:t>
      </w:r>
      <w:r>
        <w:rPr>
          <w:rFonts w:hint="eastAsia" w:ascii="宋体" w:hAnsi="宋体" w:eastAsia="宋体" w:cs="宋体"/>
          <w:b w:val="0"/>
          <w:sz w:val="28"/>
        </w:rPr>
        <w:t>班</w:t>
      </w:r>
    </w:p>
    <w:p>
      <w:pPr>
        <w:keepNext w:val="0"/>
        <w:keepLines w:val="0"/>
        <w:pageBreakBefore w:val="0"/>
        <w:widowControl/>
        <w:spacing w:line="360" w:lineRule="auto"/>
        <w:ind w:firstLine="420" w:firstLineChars="200"/>
        <w:jc w:val="left"/>
        <w:rPr>
          <w:rFonts w:hint="eastAsia" w:ascii="宋体" w:hAnsi="宋体" w:eastAsia="宋体" w:cs="宋体"/>
          <w:sz w:val="21"/>
        </w:rPr>
      </w:pPr>
      <w:r>
        <w:rPr>
          <w:rFonts w:hint="eastAsia" w:ascii="宋体" w:hAnsi="宋体" w:eastAsia="宋体" w:cs="宋体"/>
          <w:color w:val="000000"/>
          <w:kern w:val="0"/>
          <w:sz w:val="21"/>
        </w:rPr>
        <w:t xml:space="preserve">为进一步巩固“双减”成效，充分发挥学校教育主阵地作用，着力解决中小学生暑期“看护难”问题，帮助学生度过一个安全、快乐、有意义的假期，积极营造全社会协同育人良好氛围。根据宁波市教育局、宁波市发展和改革委员会《关于做好 2022年义务教育阶段学生暑期托管服务工作的通知》（甬教基〔2022〕 168 号）和共青团宁波市委、宁波市教育局关于印发《“甬有优 学”行动“亲青课堂”暑托班项目工作实施方案的通知》（甬团 联〔2022〕13 号）文件精神，开展东南小学暑期托管 。现收费如下： </w:t>
      </w:r>
    </w:p>
    <w:p>
      <w:pPr>
        <w:pStyle w:val="5"/>
        <w:keepNext w:val="0"/>
        <w:keepLines w:val="0"/>
        <w:pageBreakBefore w:val="0"/>
        <w:spacing w:line="360" w:lineRule="auto"/>
        <w:ind w:firstLine="420" w:firstLineChars="200"/>
        <w:rPr>
          <w:rFonts w:hint="eastAsia" w:ascii="宋体" w:hAnsi="宋体" w:eastAsia="宋体" w:cs="宋体"/>
          <w:color w:val="171A1D"/>
          <w:kern w:val="0"/>
          <w:sz w:val="21"/>
        </w:rPr>
      </w:pPr>
      <w:r>
        <w:rPr>
          <w:rFonts w:hint="eastAsia" w:ascii="宋体" w:hAnsi="宋体" w:eastAsia="宋体" w:cs="宋体"/>
          <w:color w:val="171A1D"/>
          <w:kern w:val="0"/>
          <w:sz w:val="21"/>
        </w:rPr>
        <w:t>托管费用：每生每天托管费 50 元，午餐费用：每生每天 17 元（含下午点心）。</w:t>
      </w:r>
    </w:p>
    <w:p>
      <w:pPr>
        <w:pStyle w:val="5"/>
        <w:keepNext w:val="0"/>
        <w:keepLines w:val="0"/>
        <w:pageBreakBefore w:val="0"/>
        <w:spacing w:line="360" w:lineRule="auto"/>
        <w:ind w:firstLine="420" w:firstLineChars="200"/>
        <w:rPr>
          <w:rFonts w:hint="eastAsia" w:ascii="宋体" w:hAnsi="宋体" w:eastAsia="宋体" w:cs="宋体"/>
          <w:color w:val="171A1D"/>
          <w:kern w:val="0"/>
          <w:sz w:val="21"/>
        </w:rPr>
      </w:pPr>
      <w:r>
        <w:rPr>
          <w:rFonts w:hint="eastAsia" w:ascii="宋体" w:hAnsi="宋体" w:eastAsia="宋体" w:cs="宋体"/>
          <w:color w:val="171A1D"/>
          <w:kern w:val="0"/>
          <w:sz w:val="21"/>
        </w:rPr>
        <w:t>第一期620元，第二期670元，合计1290元</w:t>
      </w:r>
    </w:p>
    <w:p>
      <w:pPr>
        <w:pStyle w:val="5"/>
        <w:keepNext w:val="0"/>
        <w:keepLines w:val="0"/>
        <w:pageBreakBefore w:val="0"/>
        <w:spacing w:line="360" w:lineRule="auto"/>
        <w:ind w:firstLine="420" w:firstLineChars="200"/>
        <w:rPr>
          <w:rFonts w:hint="eastAsia" w:ascii="宋体" w:hAnsi="宋体" w:eastAsia="宋体" w:cs="宋体"/>
          <w:color w:val="000000"/>
          <w:sz w:val="21"/>
          <w:highlight w:val="white"/>
        </w:rPr>
      </w:pPr>
      <w:r>
        <w:drawing>
          <wp:anchor distT="0" distB="0" distL="114935" distR="114935" simplePos="0" relativeHeight="251659264" behindDoc="1" locked="0" layoutInCell="1" allowOverlap="1">
            <wp:simplePos x="0" y="0"/>
            <wp:positionH relativeFrom="column">
              <wp:posOffset>3616325</wp:posOffset>
            </wp:positionH>
            <wp:positionV relativeFrom="paragraph">
              <wp:posOffset>815340</wp:posOffset>
            </wp:positionV>
            <wp:extent cx="1527810" cy="1527810"/>
            <wp:effectExtent l="0" t="0" r="15240" b="15240"/>
            <wp:wrapNone/>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4"/>
                    <a:stretch>
                      <a:fillRect/>
                    </a:stretch>
                  </pic:blipFill>
                  <pic:spPr>
                    <a:xfrm>
                      <a:off x="0" y="0"/>
                      <a:ext cx="1527810" cy="1527810"/>
                    </a:xfrm>
                    <a:prstGeom prst="rect">
                      <a:avLst/>
                    </a:prstGeom>
                  </pic:spPr>
                </pic:pic>
              </a:graphicData>
            </a:graphic>
          </wp:anchor>
        </w:drawing>
      </w:r>
      <w:r>
        <w:rPr>
          <w:rFonts w:hint="eastAsia" w:ascii="宋体" w:hAnsi="宋体" w:eastAsia="宋体" w:cs="宋体"/>
          <w:color w:val="000000"/>
          <w:sz w:val="21"/>
          <w:highlight w:val="white"/>
        </w:rPr>
        <w:t>请参加暑期托管服务的家长通过支付宝扫描以下二维码进入缴费页面，输入身份证号码支付款项（本次系统需要手机号先注册再缴费）。本次收费截止时间8月20日16时，超过时间未缴费的家长请就近到鄞州银行营业厅现场缴费，并交给副导老师盖有红章的银行回执单。</w:t>
      </w:r>
    </w:p>
    <w:p>
      <w:pPr>
        <w:keepNext w:val="0"/>
        <w:keepLines w:val="0"/>
        <w:widowControl/>
        <w:ind w:firstLine="480" w:firstLineChars="200"/>
        <w:jc w:val="right"/>
        <w:rPr>
          <w:rFonts w:hint="eastAsia" w:ascii="宋体" w:hAnsi="宋体" w:eastAsia="宋体" w:cs="宋体"/>
          <w:color w:val="000000"/>
          <w:kern w:val="0"/>
          <w:sz w:val="24"/>
        </w:rPr>
      </w:pPr>
    </w:p>
    <w:p>
      <w:pPr>
        <w:keepNext w:val="0"/>
        <w:keepLines w:val="0"/>
        <w:widowControl/>
        <w:ind w:firstLine="480" w:firstLineChars="200"/>
        <w:jc w:val="right"/>
        <w:rPr>
          <w:rFonts w:hint="eastAsia" w:ascii="宋体" w:hAnsi="宋体" w:eastAsia="宋体" w:cs="宋体"/>
          <w:color w:val="000000"/>
          <w:kern w:val="0"/>
          <w:sz w:val="24"/>
        </w:rPr>
      </w:pPr>
      <w:r>
        <w:rPr>
          <w:rFonts w:hint="eastAsia" w:ascii="宋体" w:hAnsi="宋体" w:eastAsia="宋体" w:cs="宋体"/>
          <w:color w:val="000000"/>
          <w:kern w:val="0"/>
          <w:sz w:val="24"/>
        </w:rPr>
        <w:t>宁波市鄞州区潘火街道东南小学</w:t>
      </w:r>
    </w:p>
    <w:p>
      <w:pPr>
        <w:jc w:val="right"/>
        <w:rPr>
          <w:rFonts w:hint="eastAsia" w:ascii="宋体" w:hAnsi="宋体" w:eastAsia="宋体" w:cs="宋体"/>
          <w:sz w:val="24"/>
        </w:rPr>
      </w:pPr>
      <w:r>
        <w:rPr>
          <w:rFonts w:hint="eastAsia" w:ascii="宋体" w:hAnsi="宋体" w:eastAsia="宋体" w:cs="宋体"/>
          <w:sz w:val="24"/>
        </w:rPr>
        <w:t>2022年8月17日</w:t>
      </w:r>
    </w:p>
    <w:p>
      <w:pPr>
        <w:pStyle w:val="5"/>
        <w:spacing w:line="360" w:lineRule="auto"/>
        <w:ind w:firstLine="480" w:firstLineChars="200"/>
        <w:rPr>
          <w:rFonts w:hint="eastAsia" w:ascii="宋体" w:hAnsi="宋体" w:eastAsia="宋体" w:cs="宋体"/>
          <w:color w:val="000000"/>
          <w:sz w:val="24"/>
          <w:highlight w:val="white"/>
        </w:rPr>
      </w:pPr>
    </w:p>
    <w:p>
      <w:pPr>
        <w:keepNext w:val="0"/>
        <w:keepLines w:val="0"/>
        <w:widowControl/>
        <w:rPr>
          <w:rFonts w:hint="eastAsia" w:ascii="宋体" w:hAnsi="宋体" w:eastAsia="宋体" w:cs="宋体"/>
          <w:color w:val="000000"/>
          <w:kern w:val="0"/>
          <w:sz w:val="28"/>
        </w:rPr>
      </w:pPr>
    </w:p>
    <w:p>
      <w:pPr>
        <w:keepNext w:val="0"/>
        <w:keepLines w:val="0"/>
        <w:widowControl/>
        <w:ind w:left="1260" w:leftChars="0" w:firstLine="420" w:firstLineChars="0"/>
        <w:jc w:val="both"/>
        <w:rPr>
          <w:rFonts w:hint="eastAsia" w:ascii="宋体" w:hAnsi="宋体" w:eastAsia="宋体" w:cs="宋体"/>
          <w:color w:val="000000"/>
          <w:kern w:val="0"/>
          <w:sz w:val="28"/>
        </w:rPr>
      </w:pPr>
      <w:r>
        <w:drawing>
          <wp:inline distT="0" distB="0" distL="114300" distR="114300">
            <wp:extent cx="3009265" cy="2332990"/>
            <wp:effectExtent l="0" t="0" r="63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3009265" cy="2332990"/>
                    </a:xfrm>
                    <a:prstGeom prst="rect">
                      <a:avLst/>
                    </a:prstGeom>
                    <a:noFill/>
                    <a:ln>
                      <a:noFill/>
                    </a:ln>
                  </pic:spPr>
                </pic:pic>
              </a:graphicData>
            </a:graphic>
          </wp:inline>
        </w:drawing>
      </w:r>
      <w:bookmarkStart w:id="0" w:name="_GoBack"/>
      <w:bookmarkEnd w:id="0"/>
    </w:p>
    <w:p>
      <w:pPr>
        <w:keepNext w:val="0"/>
        <w:keepLines w:val="0"/>
        <w:widowControl/>
        <w:ind w:firstLine="560" w:firstLineChars="200"/>
        <w:jc w:val="right"/>
        <w:rPr>
          <w:rFonts w:hint="eastAsia" w:ascii="宋体" w:hAnsi="宋体" w:eastAsia="宋体" w:cs="宋体"/>
          <w:color w:val="000000"/>
          <w:kern w:val="0"/>
          <w:sz w:val="28"/>
        </w:rPr>
      </w:pPr>
    </w:p>
    <w:sectPr>
      <w:pgSz w:w="11905" w:h="16837" w:orient="landscape"/>
      <w:pgMar w:top="1440" w:right="1800" w:bottom="1440" w:left="1800" w:header="850" w:footer="991" w:gutter="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5BDD0C1C"/>
    <w:rsid w:val="74CC13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等线" w:hAnsi="等线" w:eastAsia="等线" w:cs="等线"/>
      <w:kern w:val="2"/>
      <w:sz w:val="21"/>
    </w:rPr>
  </w:style>
  <w:style w:type="character" w:default="1" w:styleId="4">
    <w:name w:val="Default Paragraph Font"/>
    <w:uiPriority w:val="0"/>
  </w:style>
  <w:style w:type="table" w:default="1" w:styleId="2">
    <w:name w:val="Normal Table"/>
    <w:uiPriority w:val="0"/>
    <w:tblPr>
      <w:tblLayout w:type="fixed"/>
      <w:tblCellMar>
        <w:top w:w="0" w:type="dxa"/>
        <w:left w:w="108" w:type="dxa"/>
        <w:bottom w:w="0" w:type="dxa"/>
        <w:right w:w="108" w:type="dxa"/>
      </w:tblCellMar>
    </w:tblPr>
  </w:style>
  <w:style w:type="table" w:styleId="3">
    <w:name w:val="Table Grid"/>
    <w:basedOn w:val="2"/>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Pr>
  </w:style>
  <w:style w:type="paragraph" w:styleId="5">
    <w:name w:val="List Paragraph"/>
    <w:basedOn w:val="1"/>
    <w:uiPriority w:val="0"/>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Office_11.1.0.8661_F1E327BC-269C-435d-A152-05C5408002CA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DingTalk</dc:creator>
  <dc:description>DingTalk Document</dc:description>
  <cp:lastModifiedBy>竺杭杰</cp:lastModifiedBy>
  <dcterms:modified xsi:type="dcterms:W3CDTF">2022-08-17T05:05:04Z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