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347C3A" w14:paraId="1B6112E4" w14:textId="77777777" w:rsidTr="001B7493">
        <w:tc>
          <w:tcPr>
            <w:tcW w:w="2552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75716C9F" w14:textId="34401007" w:rsidR="00347C3A" w:rsidRDefault="00417E18" w:rsidP="001B7493">
            <w:pPr>
              <w:rPr>
                <w:lang w:val="en-US"/>
              </w:rPr>
            </w:pPr>
            <w:r>
              <w:rPr>
                <w:lang w:val="en-US"/>
              </w:rPr>
              <w:t>Joseph Bello</w:t>
            </w:r>
          </w:p>
        </w:tc>
      </w:tr>
      <w:tr w:rsidR="00347C3A" w14:paraId="4D4D8F43" w14:textId="77777777" w:rsidTr="001B7493">
        <w:tc>
          <w:tcPr>
            <w:tcW w:w="2552" w:type="dxa"/>
          </w:tcPr>
          <w:p w14:paraId="761E6381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08C98C2A" w:rsidR="00347C3A" w:rsidRPr="00417E18" w:rsidRDefault="00417E18" w:rsidP="001B7493">
            <w:r w:rsidRPr="00417E18">
              <w:t> UN Goal 5: Achieve gender equality and empower all women and girls</w:t>
            </w:r>
          </w:p>
        </w:tc>
      </w:tr>
      <w:tr w:rsidR="00347C3A" w14:paraId="2C27B39C" w14:textId="77777777" w:rsidTr="001B7493">
        <w:tc>
          <w:tcPr>
            <w:tcW w:w="2552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3C362A80" w:rsidR="00347C3A" w:rsidRDefault="00417E18" w:rsidP="001B7493">
            <w:pPr>
              <w:rPr>
                <w:lang w:val="en-US"/>
              </w:rPr>
            </w:pPr>
            <w:r>
              <w:rPr>
                <w:lang w:val="en-US"/>
              </w:rPr>
              <w:t>Oct 19, 2021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6B443847" w:rsidR="007F36E1" w:rsidRDefault="00F36192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technology inventory document does a good job of covering the orientations.  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5D00CA78" w:rsidR="00423BBB" w:rsidRDefault="00F05E86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6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4BFFDCD7" w:rsidR="00A634CA" w:rsidRDefault="00F05E86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6F55E65A" w:rsidR="00423BBB" w:rsidRDefault="00F36192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 cannot identify any big gaps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06473B71" w14:textId="77777777" w:rsidR="00F36192" w:rsidRPr="00F36192" w:rsidRDefault="00F36192" w:rsidP="00F36192">
            <w:pPr>
              <w:pStyle w:val="Default"/>
              <w:rPr>
                <w:rFonts w:asciiTheme="minorHAnsi" w:hAnsiTheme="minorHAnsi" w:cstheme="minorHAnsi"/>
              </w:rPr>
            </w:pPr>
            <w:r w:rsidRPr="00F36192">
              <w:rPr>
                <w:rFonts w:asciiTheme="minorHAnsi" w:hAnsiTheme="minorHAnsi" w:cstheme="minorHAnsi"/>
                <w:sz w:val="22"/>
                <w:szCs w:val="22"/>
              </w:rPr>
              <w:t xml:space="preserve">Conflict would not arise as a result of diverse skills. The range of skills is from a high schooler to an adult. </w:t>
            </w:r>
          </w:p>
          <w:p w14:paraId="4552636D" w14:textId="450DC9CB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6CB40866" w:rsidR="00A634CA" w:rsidRDefault="002F5136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app is still in development but users will eventually be able to view, filter, and share stories anonymously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069BEFF6" w:rsidR="00774098" w:rsidRDefault="00F36192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It does not 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2695C6B4" w14:textId="77777777" w:rsidR="007507BC" w:rsidRDefault="002F5136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F5136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MVP: 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</w:t>
            </w:r>
          </w:p>
          <w:p w14:paraId="59C925E5" w14:textId="77777777" w:rsidR="002F5136" w:rsidRDefault="002F5136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F5136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</w:t>
            </w:r>
            <w:r>
              <w:rPr>
                <w:lang w:val="en-US"/>
              </w:rPr>
              <w:t xml:space="preserve"> They should be able to filter by category or location and sort stories - based on likes, most recent.</w:t>
            </w:r>
          </w:p>
          <w:p w14:paraId="388C5E6B" w14:textId="2FEB4122" w:rsidR="002F5136" w:rsidRDefault="002F5136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2F5136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Users should be able to share and view stories on the app.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should be able to sign in, sign up, and verify emails. They should be able to filter by category or location and sort stories - based on likes, most recent.</w:t>
            </w:r>
            <w:r>
              <w:rPr>
                <w:lang w:val="en-US"/>
              </w:rPr>
              <w:t xml:space="preserve"> Users should also have access to a map (like an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) that makes it convenient for them to select and see all stories in the selected location.</w:t>
            </w: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A7AA" w14:textId="77777777" w:rsidR="00F05E86" w:rsidRDefault="00F05E86" w:rsidP="007434F8">
      <w:pPr>
        <w:spacing w:after="0" w:line="240" w:lineRule="auto"/>
      </w:pPr>
      <w:r>
        <w:separator/>
      </w:r>
    </w:p>
  </w:endnote>
  <w:endnote w:type="continuationSeparator" w:id="0">
    <w:p w14:paraId="6B27B470" w14:textId="77777777" w:rsidR="00F05E86" w:rsidRDefault="00F05E86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2D11" w14:textId="77777777" w:rsidR="00F05E86" w:rsidRDefault="00F05E86" w:rsidP="007434F8">
      <w:pPr>
        <w:spacing w:after="0" w:line="240" w:lineRule="auto"/>
      </w:pPr>
      <w:r>
        <w:separator/>
      </w:r>
    </w:p>
  </w:footnote>
  <w:footnote w:type="continuationSeparator" w:id="0">
    <w:p w14:paraId="23C55E1C" w14:textId="77777777" w:rsidR="00F05E86" w:rsidRDefault="00F05E86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B5C97"/>
    <w:rsid w:val="000D6F35"/>
    <w:rsid w:val="000F0E93"/>
    <w:rsid w:val="00112ABE"/>
    <w:rsid w:val="001409CD"/>
    <w:rsid w:val="00162EB2"/>
    <w:rsid w:val="00217E29"/>
    <w:rsid w:val="00243360"/>
    <w:rsid w:val="00264868"/>
    <w:rsid w:val="00270A89"/>
    <w:rsid w:val="002F2FCA"/>
    <w:rsid w:val="002F5136"/>
    <w:rsid w:val="00322B6F"/>
    <w:rsid w:val="0033471C"/>
    <w:rsid w:val="00347C3A"/>
    <w:rsid w:val="00380E18"/>
    <w:rsid w:val="003933D9"/>
    <w:rsid w:val="003B4F09"/>
    <w:rsid w:val="003C35BA"/>
    <w:rsid w:val="00402394"/>
    <w:rsid w:val="00417E18"/>
    <w:rsid w:val="00423BBB"/>
    <w:rsid w:val="00447997"/>
    <w:rsid w:val="00451A3A"/>
    <w:rsid w:val="004D2234"/>
    <w:rsid w:val="004D4854"/>
    <w:rsid w:val="00500A19"/>
    <w:rsid w:val="00526596"/>
    <w:rsid w:val="00570AA8"/>
    <w:rsid w:val="00591D16"/>
    <w:rsid w:val="005D3FE4"/>
    <w:rsid w:val="005E4479"/>
    <w:rsid w:val="005F2033"/>
    <w:rsid w:val="00630612"/>
    <w:rsid w:val="0065430B"/>
    <w:rsid w:val="00676D0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A12212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C20AE2"/>
    <w:rsid w:val="00C567C1"/>
    <w:rsid w:val="00C93EA6"/>
    <w:rsid w:val="00CB017A"/>
    <w:rsid w:val="00CD480F"/>
    <w:rsid w:val="00CF57D5"/>
    <w:rsid w:val="00D1281C"/>
    <w:rsid w:val="00D16D8B"/>
    <w:rsid w:val="00D5745A"/>
    <w:rsid w:val="00DD7FD8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E22CD"/>
    <w:rsid w:val="00F0332F"/>
    <w:rsid w:val="00F05E86"/>
    <w:rsid w:val="00F26597"/>
    <w:rsid w:val="00F36192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  <w:style w:type="paragraph" w:customStyle="1" w:styleId="Default">
    <w:name w:val="Default"/>
    <w:rsid w:val="00F36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Jay Jay</cp:lastModifiedBy>
  <cp:revision>20</cp:revision>
  <dcterms:created xsi:type="dcterms:W3CDTF">2019-09-25T16:28:00Z</dcterms:created>
  <dcterms:modified xsi:type="dcterms:W3CDTF">2021-10-19T17:09:00Z</dcterms:modified>
</cp:coreProperties>
</file>