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1C" w:rsidRDefault="0085519F" w:rsidP="003149DB">
      <w:pPr>
        <w:pStyle w:val="Title"/>
      </w:pPr>
      <w:r>
        <w:t>Ad hoc Reporting</w:t>
      </w:r>
      <w:r w:rsidR="003149DB">
        <w:t xml:space="preserve"> Administration </w:t>
      </w:r>
      <w:r>
        <w:t>–</w:t>
      </w:r>
      <w:r w:rsidR="003149DB">
        <w:t xml:space="preserve"> Help</w:t>
      </w:r>
    </w:p>
    <w:p w:rsidR="0085519F" w:rsidRDefault="0085519F" w:rsidP="0085519F">
      <w:pPr>
        <w:rPr>
          <w:b/>
          <w:color w:val="984806" w:themeColor="accent6" w:themeShade="80"/>
        </w:rPr>
      </w:pPr>
      <w:r w:rsidRPr="00F71230">
        <w:rPr>
          <w:b/>
          <w:color w:val="984806" w:themeColor="accent6" w:themeShade="80"/>
        </w:rPr>
        <w:t>Lydia Lim’</w:t>
      </w:r>
      <w:r>
        <w:rPr>
          <w:b/>
          <w:color w:val="984806" w:themeColor="accent6" w:themeShade="80"/>
        </w:rPr>
        <w:t xml:space="preserve">s </w:t>
      </w:r>
      <w:proofErr w:type="spellStart"/>
      <w:r>
        <w:rPr>
          <w:b/>
          <w:color w:val="984806" w:themeColor="accent6" w:themeShade="80"/>
        </w:rPr>
        <w:t>cheatsheet</w:t>
      </w:r>
      <w:proofErr w:type="spellEnd"/>
      <w:r>
        <w:rPr>
          <w:b/>
          <w:color w:val="984806" w:themeColor="accent6" w:themeShade="80"/>
        </w:rPr>
        <w:t xml:space="preserve"> – For internal </w:t>
      </w:r>
      <w:proofErr w:type="spellStart"/>
      <w:r>
        <w:rPr>
          <w:b/>
          <w:color w:val="984806" w:themeColor="accent6" w:themeShade="80"/>
        </w:rPr>
        <w:t>Accela</w:t>
      </w:r>
      <w:proofErr w:type="spellEnd"/>
      <w:r>
        <w:rPr>
          <w:b/>
          <w:color w:val="984806" w:themeColor="accent6" w:themeShade="80"/>
        </w:rPr>
        <w:t xml:space="preserve"> use only</w:t>
      </w:r>
    </w:p>
    <w:p w:rsidR="0085519F" w:rsidRDefault="0085519F" w:rsidP="0085519F">
      <w:pPr>
        <w:rPr>
          <w:b/>
          <w:color w:val="984806" w:themeColor="accent6" w:themeShade="80"/>
        </w:rPr>
      </w:pPr>
    </w:p>
    <w:p w:rsidR="0085519F" w:rsidRDefault="0085519F" w:rsidP="0085519F">
      <w:pPr>
        <w:rPr>
          <w:color w:val="984806" w:themeColor="accent6" w:themeShade="80"/>
        </w:rPr>
      </w:pPr>
      <w:r w:rsidRPr="00A97919">
        <w:rPr>
          <w:color w:val="984806" w:themeColor="accent6" w:themeShade="80"/>
        </w:rPr>
        <w:t xml:space="preserve">Turn on </w:t>
      </w:r>
      <w:r w:rsidRPr="006D7877">
        <w:rPr>
          <w:i/>
          <w:color w:val="984806" w:themeColor="accent6" w:themeShade="80"/>
        </w:rPr>
        <w:t>Navigation Pane</w:t>
      </w:r>
      <w:r w:rsidRPr="00A97919">
        <w:rPr>
          <w:color w:val="984806" w:themeColor="accent6" w:themeShade="80"/>
        </w:rPr>
        <w:t xml:space="preserve"> to see table of contents (</w:t>
      </w:r>
      <w:r>
        <w:rPr>
          <w:color w:val="984806" w:themeColor="accent6" w:themeShade="80"/>
        </w:rPr>
        <w:t xml:space="preserve">Menu Bar &gt; </w:t>
      </w:r>
      <w:r w:rsidRPr="00A97919">
        <w:rPr>
          <w:color w:val="984806" w:themeColor="accent6" w:themeShade="80"/>
        </w:rPr>
        <w:t>View &gt; Navigation Pane)</w:t>
      </w:r>
    </w:p>
    <w:p w:rsidR="0085519F" w:rsidRPr="0085519F" w:rsidRDefault="0085519F" w:rsidP="0085519F">
      <w:pPr>
        <w:rPr>
          <w:color w:val="984806" w:themeColor="accent6" w:themeShade="80"/>
        </w:rPr>
      </w:pPr>
      <w:r>
        <w:rPr>
          <w:color w:val="984806" w:themeColor="accent6" w:themeShade="80"/>
        </w:rPr>
        <w:t>AHR = Ad Hoc Reporting</w:t>
      </w:r>
    </w:p>
    <w:p w:rsidR="00B1433B" w:rsidRDefault="00B1433B" w:rsidP="00B1433B">
      <w:pPr>
        <w:pStyle w:val="Heading1"/>
      </w:pPr>
      <w:r>
        <w:t>Logo (Global)</w:t>
      </w:r>
    </w:p>
    <w:p w:rsidR="00B1433B" w:rsidRDefault="00B1433B" w:rsidP="00B1433B">
      <w:pPr>
        <w:pStyle w:val="ListParagraph"/>
        <w:numPr>
          <w:ilvl w:val="0"/>
          <w:numId w:val="4"/>
        </w:numPr>
        <w:spacing w:line="276" w:lineRule="auto"/>
      </w:pPr>
      <w:r>
        <w:t xml:space="preserve">A logo image appears </w:t>
      </w:r>
      <w:r w:rsidR="00A564F0">
        <w:t>on the top-left</w:t>
      </w:r>
      <w:r>
        <w:t xml:space="preserve"> of every </w:t>
      </w:r>
      <w:r w:rsidR="0085519F">
        <w:t xml:space="preserve">tabular </w:t>
      </w:r>
      <w:r>
        <w:t>report</w:t>
      </w:r>
      <w:r w:rsidR="00A564F0">
        <w:t xml:space="preserve"> (and all embedded tabular </w:t>
      </w:r>
      <w:proofErr w:type="spellStart"/>
      <w:r w:rsidR="00A564F0">
        <w:t>subreports</w:t>
      </w:r>
      <w:proofErr w:type="spellEnd"/>
      <w:r w:rsidR="00A564F0">
        <w:t>, if used)</w:t>
      </w:r>
      <w:r>
        <w:t>.  If the agency doesn't upload a logo</w:t>
      </w:r>
      <w:r w:rsidR="007A2F14">
        <w:t xml:space="preserve"> for AHR</w:t>
      </w:r>
      <w:r>
        <w:t xml:space="preserve">, AHR uses the </w:t>
      </w:r>
      <w:proofErr w:type="spellStart"/>
      <w:r>
        <w:t>Accela</w:t>
      </w:r>
      <w:proofErr w:type="spellEnd"/>
      <w:r>
        <w:t xml:space="preserve"> logo by default.</w:t>
      </w:r>
    </w:p>
    <w:p w:rsidR="00B1433B" w:rsidRDefault="00B1433B" w:rsidP="00B1433B">
      <w:pPr>
        <w:pStyle w:val="ListParagraph"/>
        <w:numPr>
          <w:ilvl w:val="0"/>
          <w:numId w:val="4"/>
        </w:numPr>
        <w:spacing w:line="276" w:lineRule="auto"/>
      </w:pPr>
      <w:r>
        <w:t xml:space="preserve">To upload a logo to be used instead of the </w:t>
      </w:r>
      <w:proofErr w:type="spellStart"/>
      <w:r>
        <w:t>Accela</w:t>
      </w:r>
      <w:proofErr w:type="spellEnd"/>
      <w:r>
        <w:t xml:space="preserve"> logo on all AHR report</w:t>
      </w:r>
      <w:r w:rsidR="0085519F">
        <w:t>s</w:t>
      </w:r>
      <w:r>
        <w:t xml:space="preserve">: See AA 7.3 Administrator Guide page 255: </w:t>
      </w:r>
      <w:r w:rsidRPr="00C918BF">
        <w:rPr>
          <w:b/>
        </w:rPr>
        <w:t>Applying a Logo to Ad Hoc Reports</w:t>
      </w:r>
    </w:p>
    <w:p w:rsidR="00B1433B" w:rsidRDefault="00B1433B" w:rsidP="00B1433B">
      <w:pPr>
        <w:pStyle w:val="ListParagraph"/>
        <w:numPr>
          <w:ilvl w:val="1"/>
          <w:numId w:val="4"/>
        </w:numPr>
        <w:spacing w:line="276" w:lineRule="auto"/>
      </w:pPr>
      <w:r>
        <w:t>Configure the Standard Choice LOGO_TYPE_CATEGORY to include the Standard Choices</w:t>
      </w:r>
    </w:p>
    <w:p w:rsidR="00B1433B" w:rsidRDefault="00B1433B" w:rsidP="00B1433B">
      <w:pPr>
        <w:pStyle w:val="ListParagraph"/>
        <w:ind w:left="1440"/>
      </w:pPr>
      <w:r>
        <w:t>Value AGENCY_LOGO.</w:t>
      </w:r>
    </w:p>
    <w:p w:rsidR="00B1433B" w:rsidRDefault="00B1433B" w:rsidP="00B1433B">
      <w:pPr>
        <w:pStyle w:val="ListParagraph"/>
        <w:numPr>
          <w:ilvl w:val="1"/>
          <w:numId w:val="4"/>
        </w:numPr>
        <w:spacing w:line="276" w:lineRule="auto"/>
      </w:pPr>
      <w:r>
        <w:t>Go to:  v360 Admin &gt; Agency Profile &gt; Logos &gt; New.  Select Logo Type of AGENCY_LOGO.  Upload the Logo image file and click Save.</w:t>
      </w:r>
    </w:p>
    <w:p w:rsidR="00B1433B" w:rsidRDefault="00B1433B" w:rsidP="00B1433B">
      <w:pPr>
        <w:pStyle w:val="ListParagraph"/>
        <w:numPr>
          <w:ilvl w:val="0"/>
          <w:numId w:val="4"/>
        </w:numPr>
        <w:spacing w:line="276" w:lineRule="auto"/>
      </w:pPr>
      <w:r>
        <w:t xml:space="preserve">The Global Logo cannot be removed.  It appears in all reports and </w:t>
      </w:r>
      <w:proofErr w:type="spellStart"/>
      <w:r>
        <w:t>subreports</w:t>
      </w:r>
      <w:proofErr w:type="spellEnd"/>
      <w:r>
        <w:t xml:space="preserve">, including embedded </w:t>
      </w:r>
      <w:proofErr w:type="spellStart"/>
      <w:r>
        <w:t>subreports</w:t>
      </w:r>
      <w:proofErr w:type="spellEnd"/>
      <w:r>
        <w:t xml:space="preserve">.  </w:t>
      </w:r>
    </w:p>
    <w:p w:rsidR="00B1433B" w:rsidRDefault="00B1433B" w:rsidP="00B1433B">
      <w:pPr>
        <w:pStyle w:val="ListParagraph"/>
        <w:numPr>
          <w:ilvl w:val="1"/>
          <w:numId w:val="4"/>
        </w:numPr>
        <w:spacing w:line="276" w:lineRule="auto"/>
      </w:pPr>
      <w:r>
        <w:t xml:space="preserve">Workaround to remove logo: Upload a blank PNG image file as the AGENCY_LOGO, making it small in </w:t>
      </w:r>
      <w:proofErr w:type="gramStart"/>
      <w:r>
        <w:t>size</w:t>
      </w:r>
      <w:proofErr w:type="gramEnd"/>
      <w:r>
        <w:t>.  Example:</w:t>
      </w:r>
      <w:r>
        <w:br/>
      </w:r>
      <w:r>
        <w:object w:dxaOrig="1512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8.65pt" o:ole="">
            <v:imagedata r:id="rId5" o:title=""/>
          </v:shape>
          <o:OLEObject Type="Embed" ProgID="PBrush" ShapeID="_x0000_i1025" DrawAspect="Icon" ObjectID="_1505547480" r:id="rId6"/>
        </w:object>
      </w:r>
      <w:r>
        <w:t xml:space="preserve">  </w:t>
      </w:r>
    </w:p>
    <w:p w:rsidR="00B1433B" w:rsidRDefault="00B1433B" w:rsidP="003149DB">
      <w:pPr>
        <w:pStyle w:val="ListParagraph"/>
        <w:numPr>
          <w:ilvl w:val="1"/>
          <w:numId w:val="4"/>
        </w:numPr>
        <w:spacing w:line="276" w:lineRule="auto"/>
      </w:pPr>
      <w:r>
        <w:t>See Steps above for uploading.</w:t>
      </w:r>
    </w:p>
    <w:p w:rsidR="00891F80" w:rsidRDefault="00891F80" w:rsidP="003149DB">
      <w:pPr>
        <w:pStyle w:val="Heading1"/>
      </w:pPr>
      <w:r>
        <w:t>Migrating Reports between Environments</w:t>
      </w:r>
    </w:p>
    <w:p w:rsidR="00891F80" w:rsidRDefault="00891F80" w:rsidP="00891F80">
      <w:pPr>
        <w:pStyle w:val="ListParagraph"/>
        <w:numPr>
          <w:ilvl w:val="0"/>
          <w:numId w:val="4"/>
        </w:numPr>
      </w:pPr>
      <w:r>
        <w:t>Before AA 8.0, AHR reports can’t be moved between environments, except if client is self-hosted and there is complete data restore from one environment to another.</w:t>
      </w:r>
    </w:p>
    <w:p w:rsidR="00891F80" w:rsidRPr="00891F80" w:rsidRDefault="00891F80" w:rsidP="00891F80">
      <w:pPr>
        <w:pStyle w:val="ListParagraph"/>
        <w:numPr>
          <w:ilvl w:val="0"/>
          <w:numId w:val="4"/>
        </w:numPr>
      </w:pPr>
      <w:r>
        <w:t>With AA 8.0 (Oct 2015), Data Manager handles transfer of Ad Hoc Report definitions between environments.</w:t>
      </w:r>
    </w:p>
    <w:p w:rsidR="00B1433B" w:rsidRDefault="00B1433B" w:rsidP="003149DB">
      <w:pPr>
        <w:pStyle w:val="Heading1"/>
      </w:pPr>
      <w:r>
        <w:t>Report Manager</w:t>
      </w:r>
    </w:p>
    <w:p w:rsidR="00B1433B" w:rsidRPr="00B1433B" w:rsidRDefault="00B1433B" w:rsidP="00B1433B">
      <w:r>
        <w:t xml:space="preserve">See </w:t>
      </w:r>
      <w:r w:rsidRPr="00B1433B">
        <w:rPr>
          <w:i/>
        </w:rPr>
        <w:t xml:space="preserve">Report Manager and </w:t>
      </w:r>
      <w:r w:rsidR="0085519F">
        <w:rPr>
          <w:i/>
        </w:rPr>
        <w:t>Ad Hoc Reporting</w:t>
      </w:r>
      <w:r w:rsidRPr="00B1433B">
        <w:rPr>
          <w:i/>
        </w:rPr>
        <w:t xml:space="preserve"> Help.docx</w:t>
      </w:r>
      <w:r>
        <w:t xml:space="preserve"> </w:t>
      </w:r>
      <w:bookmarkStart w:id="0" w:name="_GoBack"/>
      <w:r w:rsidRPr="00182D9A">
        <w:t>in Report Manager Integration folder.</w:t>
      </w:r>
      <w:bookmarkEnd w:id="0"/>
    </w:p>
    <w:p w:rsidR="007A2F14" w:rsidRPr="00C42541" w:rsidRDefault="007A2F14" w:rsidP="007A2F14">
      <w:pPr>
        <w:pStyle w:val="Heading1"/>
      </w:pPr>
      <w:r w:rsidRPr="00C42541">
        <w:t>Views</w:t>
      </w:r>
    </w:p>
    <w:p w:rsidR="007A2F14" w:rsidRPr="001E0CDA" w:rsidRDefault="007A2F14" w:rsidP="007A2F14">
      <w:pPr>
        <w:pStyle w:val="Heading2"/>
      </w:pPr>
      <w:r w:rsidRPr="001E0CDA">
        <w:t>Exposing Views</w:t>
      </w:r>
      <w:r>
        <w:t xml:space="preserve"> to Ad Hoc Reporting Data Sources page</w:t>
      </w:r>
    </w:p>
    <w:p w:rsidR="007A2F14" w:rsidRDefault="007A2F14" w:rsidP="007A2F14">
      <w:pPr>
        <w:pStyle w:val="Heading3"/>
      </w:pPr>
      <w:r w:rsidRPr="009F348B">
        <w:t>When custom views aren't used</w:t>
      </w:r>
    </w:p>
    <w:p w:rsidR="007A2F14" w:rsidRPr="00271FCF" w:rsidRDefault="007A2F14" w:rsidP="007A2F14">
      <w:pPr>
        <w:pStyle w:val="ListBullet"/>
      </w:pPr>
      <w:r>
        <w:t xml:space="preserve">Use this setting by default for new hosted agencies.  As of April 2015, </w:t>
      </w:r>
      <w:proofErr w:type="spellStart"/>
      <w:r>
        <w:t>Accela</w:t>
      </w:r>
      <w:proofErr w:type="spellEnd"/>
      <w:r>
        <w:t>-hosted agencies cannot use custom views for AHR.</w:t>
      </w:r>
    </w:p>
    <w:p w:rsidR="007A2F14" w:rsidRDefault="007A2F14" w:rsidP="007A2F14">
      <w:pPr>
        <w:pStyle w:val="ListBullet"/>
      </w:pPr>
      <w:r>
        <w:t>Don't configure Standard Choice ADHOC_REPORT_DB_VIEW or add views to it</w:t>
      </w:r>
    </w:p>
    <w:p w:rsidR="007A2F14" w:rsidRDefault="007A2F14" w:rsidP="007A2F14">
      <w:pPr>
        <w:pStyle w:val="ListBullet"/>
        <w:tabs>
          <w:tab w:val="clear" w:pos="360"/>
          <w:tab w:val="num" w:pos="720"/>
        </w:tabs>
        <w:ind w:left="720"/>
      </w:pPr>
      <w:r w:rsidRPr="00271FCF">
        <w:rPr>
          <w:b/>
        </w:rPr>
        <w:lastRenderedPageBreak/>
        <w:t>Complete</w:t>
      </w:r>
      <w:r>
        <w:t xml:space="preserve"> set of default views will then appear in Report Manager &gt; Settings &gt; Ad hoc Report Data Sources</w:t>
      </w:r>
      <w:r>
        <w:br/>
      </w:r>
      <w:r>
        <w:rPr>
          <w:noProof/>
        </w:rPr>
        <w:drawing>
          <wp:inline distT="0" distB="0" distL="0" distR="0" wp14:anchorId="249AD97B" wp14:editId="6396023F">
            <wp:extent cx="1378527" cy="2027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8527" cy="20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14" w:rsidRDefault="007A2F14" w:rsidP="007A2F14">
      <w:pPr>
        <w:pStyle w:val="ListBullet"/>
      </w:pPr>
      <w:r>
        <w:t>To expose views to AHR Data Sources page, permission must be manually set for each View in Report Manager - by Module or User Group.</w:t>
      </w:r>
    </w:p>
    <w:p w:rsidR="007A2F14" w:rsidRDefault="007A2F14" w:rsidP="007A2F14">
      <w:pPr>
        <w:pStyle w:val="bulletlvl1"/>
        <w:ind w:left="540"/>
      </w:pPr>
      <w:r>
        <w:rPr>
          <w:noProof/>
        </w:rPr>
        <w:drawing>
          <wp:inline distT="0" distB="0" distL="0" distR="0" wp14:anchorId="0CE11E6E" wp14:editId="335918E2">
            <wp:extent cx="3886200" cy="207298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241" cy="20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14" w:rsidRDefault="007A2F14" w:rsidP="007A2F14">
      <w:pPr>
        <w:pStyle w:val="bulletlvl1"/>
        <w:ind w:left="540"/>
      </w:pPr>
    </w:p>
    <w:p w:rsidR="007A2F14" w:rsidRDefault="007A2F14" w:rsidP="007A2F14">
      <w:pPr>
        <w:pStyle w:val="Heading3"/>
      </w:pPr>
      <w:r>
        <w:t>When custom views are used</w:t>
      </w:r>
    </w:p>
    <w:p w:rsidR="007A2F14" w:rsidRDefault="007A2F14" w:rsidP="007A2F14">
      <w:pPr>
        <w:pStyle w:val="bulletlvl1"/>
        <w:numPr>
          <w:ilvl w:val="0"/>
          <w:numId w:val="1"/>
        </w:numPr>
      </w:pPr>
      <w:r>
        <w:t>Standard Choice ADHOC_REPORT_DB_VIEW must be used to list all view names that will be exposed to AHR. Names of standard views must also be added here.</w:t>
      </w:r>
    </w:p>
    <w:p w:rsidR="007A2F14" w:rsidRDefault="007A2F14" w:rsidP="007A2F14">
      <w:pPr>
        <w:pStyle w:val="bulletlvl1"/>
        <w:numPr>
          <w:ilvl w:val="0"/>
          <w:numId w:val="1"/>
        </w:numPr>
      </w:pPr>
      <w:r>
        <w:t>The list of views in above Standard Choices will appear in Report Manager &gt; Settings &gt; Ad hoc Report Data Sources.</w:t>
      </w:r>
    </w:p>
    <w:p w:rsidR="007A2F14" w:rsidRDefault="007A2F14" w:rsidP="007A2F14">
      <w:pPr>
        <w:pStyle w:val="bulletlvl1"/>
        <w:numPr>
          <w:ilvl w:val="0"/>
          <w:numId w:val="1"/>
        </w:numPr>
      </w:pPr>
      <w:r>
        <w:t>Must manually set Permissions for each View in Report Manager - by Module or User Group</w:t>
      </w:r>
    </w:p>
    <w:p w:rsidR="007A2F14" w:rsidRDefault="007A2F14" w:rsidP="007A2F14">
      <w:pPr>
        <w:pStyle w:val="bulletlvl1"/>
        <w:ind w:firstLine="180"/>
      </w:pPr>
      <w:r>
        <w:t>From official documentation:</w:t>
      </w:r>
    </w:p>
    <w:p w:rsidR="007A2F14" w:rsidRDefault="007A2F14" w:rsidP="007A2F14">
      <w:pPr>
        <w:pStyle w:val="bulletlvl1"/>
        <w:ind w:left="450" w:hanging="270"/>
      </w:pPr>
      <w:r>
        <w:t xml:space="preserve">Configure the Standard Choice ADHOC_REPORT_DB_VIEW to define which data sources (DB Views) are available for ad hoc reporting. If you did not configure the Standard Choice yet, </w:t>
      </w:r>
      <w:proofErr w:type="spellStart"/>
      <w:r>
        <w:t>Accela</w:t>
      </w:r>
      <w:proofErr w:type="spellEnd"/>
      <w:r>
        <w:t xml:space="preserve"> Automation uses a default list of DB Views. See </w:t>
      </w:r>
      <w:hyperlink r:id="rId9" w:anchor="XREF_34929_Standard_Choices" w:history="1">
        <w:r>
          <w:rPr>
            <w:rStyle w:val="Hyperlink"/>
            <w:rFonts w:eastAsiaTheme="majorEastAsia"/>
          </w:rPr>
          <w:t>Standard Choices Reference</w:t>
        </w:r>
      </w:hyperlink>
      <w:r>
        <w:t xml:space="preserve"> for more information. </w:t>
      </w:r>
    </w:p>
    <w:p w:rsidR="007A2F14" w:rsidRDefault="007A2F14" w:rsidP="007A2F14">
      <w:pPr>
        <w:pStyle w:val="bulletlvl1"/>
        <w:ind w:left="450" w:hanging="270"/>
      </w:pPr>
      <w:r>
        <w:rPr>
          <w:rStyle w:val="rls-1-bullets"/>
          <w:rFonts w:ascii="Courier New" w:eastAsiaTheme="majorEastAsia" w:hAnsi="Courier New" w:cs="Courier New"/>
        </w:rPr>
        <w:t>■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t>Open Report Manager (</w:t>
      </w:r>
      <w:r>
        <w:rPr>
          <w:rStyle w:val="charmenusbuttonsbold"/>
          <w:rFonts w:eastAsiaTheme="majorEastAsia"/>
        </w:rPr>
        <w:t>Settings &gt; Ad hoc Data Sources</w:t>
      </w:r>
      <w:r>
        <w:t xml:space="preserve">) and assign permissions either by user group or by module for each data source. See </w:t>
      </w:r>
      <w:hyperlink r:id="rId10" w:anchor="XREF_12573_Setting" w:history="1">
        <w:r>
          <w:rPr>
            <w:rStyle w:val="Hyperlink"/>
            <w:rFonts w:eastAsiaTheme="majorEastAsia"/>
          </w:rPr>
          <w:t>Setting Permissions on Ad hoc Report Data Sources</w:t>
        </w:r>
      </w:hyperlink>
      <w:r>
        <w:t xml:space="preserve"> for more information.</w:t>
      </w:r>
    </w:p>
    <w:p w:rsidR="007A2F14" w:rsidRDefault="007A2F14" w:rsidP="007A2F14"/>
    <w:p w:rsidR="007A2F14" w:rsidRDefault="007A2F14" w:rsidP="007A2F14">
      <w:pPr>
        <w:pStyle w:val="Heading2"/>
      </w:pPr>
      <w:r>
        <w:t>Default Views - New</w:t>
      </w:r>
    </w:p>
    <w:p w:rsidR="007A2F14" w:rsidRDefault="007A2F14" w:rsidP="007A2F14">
      <w:pPr>
        <w:pStyle w:val="ListParagraph"/>
        <w:numPr>
          <w:ilvl w:val="0"/>
          <w:numId w:val="1"/>
        </w:numPr>
      </w:pPr>
      <w:r>
        <w:t>Added by Engineering after initial AHR release</w:t>
      </w:r>
    </w:p>
    <w:p w:rsidR="007A2F14" w:rsidRDefault="007A2F14" w:rsidP="007A2F14">
      <w:pPr>
        <w:pStyle w:val="ListParagraph"/>
        <w:numPr>
          <w:ilvl w:val="0"/>
          <w:numId w:val="1"/>
        </w:numPr>
      </w:pPr>
      <w:r>
        <w:t>Not in Data Dictionary (which only contains initial set of default views that Lydia created)</w:t>
      </w:r>
    </w:p>
    <w:p w:rsidR="007A2F14" w:rsidRDefault="007A2F14" w:rsidP="007A2F14">
      <w:pPr>
        <w:pStyle w:val="ListParagraph"/>
        <w:numPr>
          <w:ilvl w:val="0"/>
          <w:numId w:val="1"/>
        </w:numPr>
      </w:pPr>
      <w:r>
        <w:t>List:</w:t>
      </w:r>
    </w:p>
    <w:p w:rsidR="007A2F14" w:rsidRDefault="007A2F14" w:rsidP="007A2F14">
      <w:pPr>
        <w:pStyle w:val="ListParagraph"/>
        <w:numPr>
          <w:ilvl w:val="1"/>
          <w:numId w:val="1"/>
        </w:numPr>
      </w:pPr>
      <w:r>
        <w:t>V_ASSET</w:t>
      </w:r>
    </w:p>
    <w:p w:rsidR="007A2F14" w:rsidRDefault="007A2F14" w:rsidP="007A2F14">
      <w:pPr>
        <w:pStyle w:val="ListParagraph"/>
        <w:numPr>
          <w:ilvl w:val="1"/>
          <w:numId w:val="1"/>
        </w:numPr>
      </w:pPr>
      <w:r>
        <w:t>V_CONTACT_ADDRESS</w:t>
      </w:r>
      <w:r>
        <w:tab/>
        <w:t>- for multiple contact address functionality</w:t>
      </w:r>
    </w:p>
    <w:p w:rsidR="007A2F14" w:rsidRPr="001E0CDA" w:rsidRDefault="007A2F14" w:rsidP="007A2F14">
      <w:pPr>
        <w:pStyle w:val="ListParagraph"/>
        <w:numPr>
          <w:ilvl w:val="1"/>
          <w:numId w:val="1"/>
        </w:numPr>
      </w:pPr>
      <w:r w:rsidRPr="00FD0820">
        <w:t>V_WORKORDER_ASSET</w:t>
      </w:r>
    </w:p>
    <w:p w:rsidR="007A2F14" w:rsidRDefault="007A2F14" w:rsidP="007A2F14">
      <w:pPr>
        <w:pStyle w:val="Heading2"/>
      </w:pPr>
      <w:r w:rsidRPr="00C42541">
        <w:rPr>
          <w:sz w:val="20"/>
        </w:rPr>
        <w:lastRenderedPageBreak/>
        <w:t>Unknown Default View in Report Manager</w:t>
      </w:r>
    </w:p>
    <w:p w:rsidR="007A2F14" w:rsidRDefault="007A2F14" w:rsidP="007A2F14">
      <w:pPr>
        <w:pStyle w:val="ListParagraph"/>
        <w:numPr>
          <w:ilvl w:val="0"/>
          <w:numId w:val="1"/>
        </w:numPr>
      </w:pPr>
      <w:r>
        <w:t>Observed in Oakland's Support site, AA 7.3 FP1, March 2014</w:t>
      </w:r>
    </w:p>
    <w:p w:rsidR="007A2F14" w:rsidRDefault="007A2F14" w:rsidP="007A2F14">
      <w:pPr>
        <w:pStyle w:val="ListParagraph"/>
        <w:numPr>
          <w:ilvl w:val="0"/>
          <w:numId w:val="1"/>
        </w:numPr>
      </w:pPr>
      <w:r>
        <w:t>No standard choice ADHOC_REPORT_DB_VIEW configured</w:t>
      </w:r>
    </w:p>
    <w:p w:rsidR="007A2F14" w:rsidRDefault="007A2F14" w:rsidP="007A2F14">
      <w:pPr>
        <w:pStyle w:val="ListParagraph"/>
        <w:numPr>
          <w:ilvl w:val="0"/>
          <w:numId w:val="1"/>
        </w:numPr>
      </w:pPr>
      <w:r>
        <w:t>View below not in DB (exposed to User1), not created by Lydia</w:t>
      </w:r>
    </w:p>
    <w:p w:rsidR="007A2F14" w:rsidRPr="00D139C2" w:rsidRDefault="007A2F14" w:rsidP="007A2F14">
      <w:pPr>
        <w:pStyle w:val="ListParagraph"/>
        <w:numPr>
          <w:ilvl w:val="1"/>
          <w:numId w:val="1"/>
        </w:numPr>
        <w:rPr>
          <w:b/>
        </w:rPr>
      </w:pPr>
      <w:r w:rsidRPr="00D139C2">
        <w:rPr>
          <w:b/>
        </w:rPr>
        <w:t>V_CONSOLIDATED_LIST</w:t>
      </w:r>
    </w:p>
    <w:p w:rsidR="007A2F14" w:rsidRPr="001E0CDA" w:rsidRDefault="007A2F14" w:rsidP="007A2F14">
      <w:pPr>
        <w:pStyle w:val="ListParagraph"/>
        <w:numPr>
          <w:ilvl w:val="2"/>
          <w:numId w:val="1"/>
        </w:numPr>
      </w:pPr>
      <w:r>
        <w:t xml:space="preserve"> If enabled - appears in AHR, but no fields in dropdown</w:t>
      </w:r>
    </w:p>
    <w:p w:rsidR="007A2F14" w:rsidRPr="00024D57" w:rsidRDefault="007A2F14" w:rsidP="007A2F14">
      <w:pPr>
        <w:pStyle w:val="ListParagraph"/>
        <w:ind w:left="360"/>
      </w:pPr>
    </w:p>
    <w:p w:rsidR="001E0CDA" w:rsidRPr="003149DB" w:rsidRDefault="001E0CDA" w:rsidP="003149DB"/>
    <w:sectPr w:rsidR="001E0CDA" w:rsidRPr="003149DB" w:rsidSect="00D25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074A6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697AA9"/>
    <w:multiLevelType w:val="hybridMultilevel"/>
    <w:tmpl w:val="7ED8A274"/>
    <w:lvl w:ilvl="0" w:tplc="8A36E2C6">
      <w:numFmt w:val="bullet"/>
      <w:lvlText w:val=""/>
      <w:lvlJc w:val="left"/>
      <w:pPr>
        <w:ind w:left="54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8FB5F94"/>
    <w:multiLevelType w:val="hybridMultilevel"/>
    <w:tmpl w:val="49B4EEBA"/>
    <w:lvl w:ilvl="0" w:tplc="E514E9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D763E"/>
    <w:multiLevelType w:val="hybridMultilevel"/>
    <w:tmpl w:val="D5B66788"/>
    <w:lvl w:ilvl="0" w:tplc="2D80F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57"/>
    <w:rsid w:val="00094A88"/>
    <w:rsid w:val="000E6B46"/>
    <w:rsid w:val="00182D9A"/>
    <w:rsid w:val="001E0CDA"/>
    <w:rsid w:val="00290ACA"/>
    <w:rsid w:val="003149DB"/>
    <w:rsid w:val="004727DD"/>
    <w:rsid w:val="005E57DB"/>
    <w:rsid w:val="007A2F14"/>
    <w:rsid w:val="007A49F6"/>
    <w:rsid w:val="007A5713"/>
    <w:rsid w:val="00827257"/>
    <w:rsid w:val="0085519F"/>
    <w:rsid w:val="008840FE"/>
    <w:rsid w:val="00891F80"/>
    <w:rsid w:val="008B177D"/>
    <w:rsid w:val="00937280"/>
    <w:rsid w:val="009E0A25"/>
    <w:rsid w:val="00A564F0"/>
    <w:rsid w:val="00B1433B"/>
    <w:rsid w:val="00CA46F4"/>
    <w:rsid w:val="00CC1597"/>
    <w:rsid w:val="00D139C2"/>
    <w:rsid w:val="00D16FE3"/>
    <w:rsid w:val="00D258F3"/>
    <w:rsid w:val="00D51C50"/>
    <w:rsid w:val="00E4079A"/>
    <w:rsid w:val="00E7203E"/>
    <w:rsid w:val="00F11619"/>
    <w:rsid w:val="00F17A00"/>
    <w:rsid w:val="00FD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EA33B-F735-43FE-B76C-3B02CD82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C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C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9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9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4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149DB"/>
    <w:rPr>
      <w:rFonts w:ascii="Arial" w:hAnsi="Arial" w:cs="Arial" w:hint="default"/>
      <w:color w:val="3A8EDB"/>
      <w:sz w:val="18"/>
      <w:szCs w:val="18"/>
      <w:u w:val="single"/>
    </w:rPr>
  </w:style>
  <w:style w:type="paragraph" w:customStyle="1" w:styleId="bulletlvl1">
    <w:name w:val="bulletlvl1"/>
    <w:basedOn w:val="Normal"/>
    <w:rsid w:val="003149DB"/>
    <w:pPr>
      <w:spacing w:before="160" w:after="160"/>
    </w:pPr>
    <w:rPr>
      <w:rFonts w:ascii="Arial" w:eastAsia="Times New Roman" w:hAnsi="Arial" w:cs="Arial"/>
      <w:sz w:val="18"/>
      <w:szCs w:val="18"/>
    </w:rPr>
  </w:style>
  <w:style w:type="character" w:customStyle="1" w:styleId="charmenusbuttonsbold">
    <w:name w:val="charmenusbuttons_bold"/>
    <w:basedOn w:val="DefaultParagraphFont"/>
    <w:rsid w:val="003149DB"/>
    <w:rPr>
      <w:rFonts w:ascii="Arial" w:hAnsi="Arial" w:cs="Arial" w:hint="default"/>
      <w:b/>
      <w:bCs/>
      <w:strike w:val="0"/>
      <w:dstrike w:val="0"/>
      <w:color w:val="000000"/>
      <w:spacing w:val="0"/>
      <w:sz w:val="18"/>
      <w:szCs w:val="18"/>
      <w:u w:val="none"/>
      <w:effect w:val="none"/>
    </w:rPr>
  </w:style>
  <w:style w:type="character" w:customStyle="1" w:styleId="rls-1-bullets">
    <w:name w:val="rls-1-bullets"/>
    <w:basedOn w:val="DefaultParagraphFont"/>
    <w:rsid w:val="003149DB"/>
    <w:rPr>
      <w:rFonts w:ascii="Arial" w:hAnsi="Arial" w:cs="Arial" w:hint="default"/>
      <w:color w:val="3A8EDB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0CDA"/>
    <w:rPr>
      <w:rFonts w:asciiTheme="majorHAnsi" w:eastAsiaTheme="majorEastAsia" w:hAnsiTheme="majorHAnsi" w:cstheme="majorBidi"/>
      <w:b/>
      <w:bCs/>
      <w:color w:val="17365D" w:themeColor="text2" w:themeShade="BF"/>
      <w:sz w:val="24"/>
      <w:szCs w:val="26"/>
    </w:rPr>
  </w:style>
  <w:style w:type="paragraph" w:styleId="ListBullet">
    <w:name w:val="List Bullet"/>
    <w:basedOn w:val="Normal"/>
    <w:uiPriority w:val="99"/>
    <w:unhideWhenUsed/>
    <w:rsid w:val="005E57DB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7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D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E0CDA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av.supp.accela.com/portlets-help/accelaautomationdocumentationset/docset1/aa_admin/aa_admin_report_manager/assigning_permissions_to_report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.supp.accela.com/portlets-help/accelaautomationdocumentationset/docset1/accela_automation_configurers_guide/aa_ref_standard_choices/standard_choices_refere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Lim</dc:creator>
  <cp:keywords>Ad Hoc Reporting; Views</cp:keywords>
  <dc:description/>
  <cp:lastModifiedBy>Lydia Lim</cp:lastModifiedBy>
  <cp:revision>27</cp:revision>
  <dcterms:created xsi:type="dcterms:W3CDTF">2014-03-14T22:36:00Z</dcterms:created>
  <dcterms:modified xsi:type="dcterms:W3CDTF">2015-10-05T15:52:00Z</dcterms:modified>
</cp:coreProperties>
</file>