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5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>Course F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F</w:t>
      </w:r>
      <w:r>
        <w:rPr>
          <w:rFonts w:cs="Times New Roman" w:cstheme="majorBidi"/>
          <w:bCs/>
          <w:lang w:val="en-GB"/>
        </w:rPr>
        <w:t xml:space="preserve"> 3100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10.  Prerequisite(s) (if any): C</w:t>
      </w:r>
      <w:r>
        <w:rPr>
          <w:b/>
          <w:bCs/>
        </w:rPr>
        <w:t xml:space="preserve"> 2100 </w:t>
      </w:r>
      <w:r>
        <w:rPr>
          <w:b/>
          <w:bCs/>
        </w:rPr>
        <w:t>Course C</w:t>
      </w:r>
      <w:r>
        <w:rPr>
          <w:b/>
          <w:bCs/>
        </w:rPr>
        <w:t xml:space="preserve">, D 2100 </w:t>
      </w:r>
      <w:r>
        <w:rPr>
          <w:b/>
          <w:bCs/>
        </w:rPr>
        <w:t>Course D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4106034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147</Words>
  <Characters>825</Characters>
  <CharactersWithSpaces>962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2020-02-02T21:51:27Z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