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Highlights</w:t>
      </w:r>
    </w:p>
    <w:p>
      <w:pPr>
        <w:pStyle w:val="ListBullet"/>
      </w:pPr>
      <w:r>
        <w:t>GraphPatch residuals target electricity-price spike regimes.</w:t>
      </w:r>
    </w:p>
    <w:p>
      <w:pPr>
        <w:pStyle w:val="ListBullet"/>
      </w:pPr>
      <w:r>
        <w:t>TDConv residual anchoring exposes a strong-sequence limitation.</w:t>
      </w:r>
    </w:p>
    <w:p>
      <w:pPr>
        <w:pStyle w:val="ListBullet"/>
      </w:pPr>
      <w:r>
        <w:t>Rolling-origin GraphPatch gains hold in 12/12 spike tests.</w:t>
      </w:r>
    </w:p>
    <w:p>
      <w:pPr>
        <w:pStyle w:val="ListBullet"/>
      </w:pPr>
      <w:r>
        <w:t>Leave-one-zone-out GraphPatch transfer is positive in 3/4 zones.</w:t>
      </w:r>
    </w:p>
    <w:p>
      <w:pPr>
        <w:pStyle w:val="ListBullet"/>
      </w:pPr>
      <w:r>
        <w:t>Split-conformal calibration exposes Nordic under-coverage.</w:t>
      </w:r>
    </w:p>
    <w:p>
      <w:r>
        <w:t>Each bullet is intended to stay within Elsevier's 85-character highlight limit.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