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EAAI Paper 1 Submission Checklist</w:t>
      </w:r>
    </w:p>
    <w:p>
      <w:pPr>
        <w:pStyle w:val="Heading1"/>
      </w:pPr>
      <w:r>
        <w:t>Official-Source Rules Reflected in This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  <w:sz w:val="16"/>
              </w:rPr>
              <w:t>Current handling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Practical AI method for a real-world engineering application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Abstract explicitly separates the AI contribution from the virtual-power-plant engineering application.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Public-data validation for replicability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OPSD public benchmark is the main empirical evidence; local data are only application evidence.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No undefined acronym in title or abstract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The title avoids undefined acronyms; the abstract expands Open Power System Data context through the dataset section.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Single-column manuscript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DOCX builder uses a single-column Word layout.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Double-anonymized workflow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Anonymous manuscript is separate from title page and author declarations.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Highlights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A separate highlights file contains five short bullets.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Data availability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A data availability statement is included.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Competing interest, funding, and AI-use declarations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Included in the title/declarations file and mirrored in the anonymous manuscript for final transparency review; the AI statement names OpenAI ChatGPT/Codex and preserves author responsibility.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Modern sequence baseline comparison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DLinear/NLinear-style sequence anchors, a TDConv-style TCN-family comparator, and a lightweight patch-attention reviewer baseline are included; full PatchTST/TFT training remains a reviewer-response extension.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sz w:val="16"/>
              </w:rPr>
              <w:t>Reference verification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16"/>
              </w:rPr>
              <w:t>A BibTeX-backed verified reference register exists; the manuscript uses confirmed DOI URLs where available and stable URLs where DOI insertion would be unsafe.</w:t>
            </w:r>
          </w:p>
        </w:tc>
      </w:tr>
    </w:tbl>
    <w:p>
      <w:pPr>
        <w:spacing w:after="120"/>
      </w:pPr>
    </w:p>
    <w:p>
      <w:pPr>
        <w:pStyle w:val="Heading1"/>
      </w:pPr>
      <w:r>
        <w:t>Remaining Author Actions Before Real Submission</w:t>
      </w:r>
    </w:p>
    <w:p>
      <w:pPr>
        <w:pStyle w:val="ListBullet"/>
      </w:pPr>
      <w:r>
        <w:t>Confirm author names, affiliations, no-funding statement, omitted-acknowledgement handling, and corresponding-author details.</w:t>
      </w:r>
    </w:p>
    <w:p>
      <w:pPr>
        <w:pStyle w:val="ListBullet"/>
      </w:pPr>
      <w:r>
        <w:t>Confirm with the school that the exact journal and rule year satisfy the required B/C classification.</w:t>
      </w:r>
    </w:p>
    <w:p>
      <w:pPr>
        <w:pStyle w:val="ListBullet"/>
      </w:pPr>
      <w:r>
        <w:t>Complete the journal-classification evidence packet before APC payment or submission.</w:t>
      </w:r>
    </w:p>
    <w:p>
      <w:pPr>
        <w:pStyle w:val="ListBullet"/>
      </w:pPr>
      <w:r>
        <w:t>Import the verified BibTeX file into Zotero/EndNote and normalize journal abbreviations/capitalization for the exact submission style.</w:t>
      </w:r>
    </w:p>
    <w:p>
      <w:pPr>
        <w:pStyle w:val="ListBullet"/>
      </w:pPr>
      <w:r>
        <w:t>Add full PatchTST/TFT only if editors or reviewers demand a broader GPU-dependent deep-learning suite.</w:t>
      </w:r>
    </w:p>
    <w:p>
      <w:pPr>
        <w:pStyle w:val="ListBullet"/>
      </w:pPr>
      <w:r>
        <w:t>Move code and derived public-result tables to a repository or supplementary archive.</w:t>
      </w:r>
    </w:p>
    <w:p>
      <w:pPr>
        <w:pStyle w:val="ListBullet"/>
      </w:pPr>
      <w:r>
        <w:t>Review the AI declaration wording with the author and institutional policy before real upload.</w:t>
      </w:r>
    </w:p>
    <w:p>
      <w:pPr>
        <w:pStyle w:val="ListBullet"/>
      </w:pPr>
      <w:r>
        <w:t>Ensure no private/local data are disclosed without permission.</w:t>
      </w:r>
    </w:p>
    <w:p>
      <w:pPr>
        <w:pStyle w:val="Heading1"/>
      </w:pPr>
      <w:r>
        <w:t>Evidence Date</w:t>
      </w:r>
    </w:p>
    <w:p>
      <w:r>
        <w:t>Prepared on 2026-06-30 from current public EAAI/Elsevier guidance and the local reproducible experiment package.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