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i w:val="1"/>
              </w:rPr>
            </w:pPr>
            <w:r w:rsidDel="00000000" w:rsidR="00000000" w:rsidRPr="00000000">
              <w:rPr>
                <w:i w:val="1"/>
                <w:rtl w:val="0"/>
              </w:rPr>
              <w:t xml:space="preserve">Doing business with other companies might increase the risks to data since it presents</w:t>
            </w:r>
          </w:p>
          <w:p w:rsidR="00000000" w:rsidDel="00000000" w:rsidP="00000000" w:rsidRDefault="00000000" w:rsidRPr="00000000" w14:paraId="0000002C">
            <w:pPr>
              <w:ind w:left="0" w:right="-90" w:firstLine="0"/>
              <w:rPr>
                <w:i w:val="1"/>
              </w:rPr>
            </w:pPr>
            <w:r w:rsidDel="00000000" w:rsidR="00000000" w:rsidRPr="00000000">
              <w:rPr>
                <w:i w:val="1"/>
                <w:rtl w:val="0"/>
              </w:rPr>
              <w:t xml:space="preserve">other avenues for the information to be compromised. The risk of theft is important, but</w:t>
            </w:r>
          </w:p>
          <w:p w:rsidR="00000000" w:rsidDel="00000000" w:rsidP="00000000" w:rsidRDefault="00000000" w:rsidRPr="00000000" w14:paraId="0000002D">
            <w:pPr>
              <w:ind w:left="0" w:right="-90" w:firstLine="0"/>
              <w:rPr>
                <w:i w:val="1"/>
              </w:rPr>
            </w:pPr>
            <w:r w:rsidDel="00000000" w:rsidR="00000000" w:rsidRPr="00000000">
              <w:rPr>
                <w:i w:val="1"/>
                <w:rtl w:val="0"/>
              </w:rPr>
              <w:t xml:space="preserve">might not be a priority because the bank is in an area with low crime rates. This information helps the risk assessment by considering some of the external factors.</w:t>
            </w:r>
          </w:p>
          <w:p w:rsidR="00000000" w:rsidDel="00000000" w:rsidP="00000000" w:rsidRDefault="00000000" w:rsidRPr="00000000" w14:paraId="0000002E">
            <w:pPr>
              <w:ind w:left="0" w:right="-90" w:firstLine="0"/>
              <w:rPr>
                <w:i w:val="1"/>
              </w:rPr>
            </w:pPr>
            <w:r w:rsidDel="00000000" w:rsidR="00000000" w:rsidRPr="00000000">
              <w:rPr>
                <w:rtl w:val="0"/>
              </w:rPr>
            </w:r>
          </w:p>
        </w:tc>
      </w:tr>
    </w:tbl>
    <w:p w:rsidR="00000000" w:rsidDel="00000000" w:rsidP="00000000" w:rsidRDefault="00000000" w:rsidRPr="00000000" w14:paraId="00000033">
      <w:pPr>
        <w:rPr>
          <w:i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Likelihood:</w:t>
      </w:r>
    </w:p>
    <w:p w:rsidR="00000000" w:rsidDel="00000000" w:rsidP="00000000" w:rsidRDefault="00000000" w:rsidRPr="00000000" w14:paraId="00000035">
      <w:pPr>
        <w:jc w:val="both"/>
        <w:rPr/>
      </w:pPr>
      <w:r w:rsidDel="00000000" w:rsidR="00000000" w:rsidRPr="00000000">
        <w:rPr>
          <w:rtl w:val="0"/>
        </w:rPr>
        <w:t xml:space="preserve">Likelihood scores were estimated based on factors that could lead to a security incident, with a range from 1-3 on a matrix risk indicating rarity, likelihood, certainty. For instance, the supply chain disruption from a natural disaster was scored 1 because of the unpredictability of such an event, this is in contrast with the Financial records leak. It is rated with 3 points because Financial records leak there's a high likelihood.</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Severity:</w:t>
      </w:r>
    </w:p>
    <w:p w:rsidR="00000000" w:rsidDel="00000000" w:rsidP="00000000" w:rsidRDefault="00000000" w:rsidRPr="00000000" w14:paraId="00000038">
      <w:pPr>
        <w:jc w:val="both"/>
        <w:rPr/>
      </w:pPr>
      <w:r w:rsidDel="00000000" w:rsidR="00000000" w:rsidRPr="00000000">
        <w:rPr>
          <w:rtl w:val="0"/>
        </w:rPr>
        <w:t xml:space="preserve">Severity is the potential damage the threat would cause to the business and it scored 1-3 on a matrix risk. In this report the minimum point for Severity is 2 which means that the risks  will cause a moderate severity impact  and the maximum is 3 for Compromised user database and Financial records leak because the potential damage will cause a high severity impact to the business.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Priority:</w:t>
      </w:r>
    </w:p>
    <w:p w:rsidR="00000000" w:rsidDel="00000000" w:rsidP="00000000" w:rsidRDefault="00000000" w:rsidRPr="00000000" w14:paraId="0000003B">
      <w:pPr>
        <w:jc w:val="both"/>
        <w:rPr/>
      </w:pPr>
      <w:r w:rsidDel="00000000" w:rsidR="00000000" w:rsidRPr="00000000">
        <w:rPr>
          <w:rtl w:val="0"/>
        </w:rPr>
        <w:t xml:space="preserve">Priority is how quickly a risk should be addressed to avoid the potential incident. In this case the highest is 9 at Financial records leak. It means that this risk is almost certain to happen and would significantly impact the bank's ability to operate, by that the bank has to be quick to address to avoid the potential incident, helping the security team prioritize remediation efforts for this risk before addressing those with lower scores.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E">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F">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40">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42">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44">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E">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