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99"/>
        <w:gridCol w:w="5039"/>
        <w:gridCol w:w="2300"/>
      </w:tblGrid>
      <w:tr>
        <w:trPr/>
        <w:tc>
          <w:tcPr>
            <w:tcW w:w="2299" w:type="dxa"/>
            <w:tcBorders>
              <w:top w:val="single" w:sz="6" w:space="0" w:color="9CA3AF"/>
              <w:start w:val="single" w:sz="6" w:space="0" w:color="9CA3AF"/>
              <w:bottom w:val="single" w:sz="6" w:space="0" w:color="9CA3AF"/>
              <w:end w:val="single" w:sz="6" w:space="0" w:color="9CA3AF"/>
            </w:tcBorders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/>
              <w:drawing>
                <wp:inline distT="0" distB="0" distL="0" distR="0">
                  <wp:extent cx="400050" cy="400050"/>
                  <wp:effectExtent l="0" t="0" r="0" b="0"/>
                  <wp:docPr id="1" name="gear.png" descr="gear.png" title="ge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ear.png" descr="gear.png" title="ge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F3A5F"/>
                <w:sz w:val="34"/>
                <w:szCs w:val="34"/>
              </w:rPr>
              <w:t>UEES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1F3A5F"/>
                <w:sz w:val="18"/>
                <w:szCs w:val="18"/>
              </w:rPr>
              <w:t>SOFTWARE DESIGN</w:t>
            </w:r>
          </w:p>
        </w:tc>
        <w:tc>
          <w:tcPr>
            <w:tcW w:w="5039" w:type="dxa"/>
            <w:tcBorders>
              <w:top w:val="single" w:sz="6" w:space="0" w:color="9CA3AF"/>
              <w:start w:val="single" w:sz="6" w:space="0" w:color="9CA3AF"/>
              <w:bottom w:val="single" w:sz="6" w:space="0" w:color="9CA3AF"/>
              <w:end w:val="single" w:sz="6" w:space="0" w:color="9CA3A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i/>
                <w:iCs/>
                <w:color w:val="1B8A8F"/>
                <w:sz w:val="28"/>
                <w:szCs w:val="28"/>
              </w:rPr>
              <w:t>Universidad Espíritu Santo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4"/>
                <w:szCs w:val="24"/>
              </w:rPr>
              <w:t>Diseño de Software | UCOM0310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6B7280"/>
                <w:sz w:val="19"/>
                <w:szCs w:val="19"/>
              </w:rPr>
              <w:t>Semana 7 · Ae6 – Suite de pruebas, cobertura y Pull Request</w:t>
            </w:r>
          </w:p>
        </w:tc>
        <w:tc>
          <w:tcPr>
            <w:tcW w:w="2300" w:type="dxa"/>
            <w:tcBorders>
              <w:top w:val="single" w:sz="6" w:space="0" w:color="9CA3AF"/>
              <w:start w:val="single" w:sz="6" w:space="0" w:color="9CA3AF"/>
              <w:bottom w:val="single" w:sz="6" w:space="0" w:color="9CA3AF"/>
              <w:end w:val="single" w:sz="6" w:space="0" w:color="9CA3AF"/>
            </w:tcBorders>
            <w:vAlign w:val="center"/>
          </w:tcPr>
          <w:p>
            <w:pPr>
              <w:pStyle w:val="Normal"/>
              <w:spacing w:before="0" w:after="20"/>
              <w:jc w:val="center"/>
              <w:rPr/>
            </w:pPr>
            <w:r>
              <w:rPr/>
              <w:drawing>
                <wp:inline distT="0" distB="0" distL="0" distR="0">
                  <wp:extent cx="438150" cy="438150"/>
                  <wp:effectExtent l="0" t="0" r="0" b="0"/>
                  <wp:docPr id="2" name="grad.png" descr="grad.png" title="gr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d.png" descr="grad.png" title="gr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Estudiante: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7"/>
                <w:szCs w:val="17"/>
              </w:rPr>
              <w:t>Joffre Barre Veliz</w:t>
            </w:r>
          </w:p>
        </w:tc>
      </w:tr>
    </w:tbl>
    <w:p>
      <w:pPr>
        <w:pStyle w:val="Normal"/>
        <w:spacing w:before="0" w:after="200"/>
        <w:jc w:val="center"/>
        <w:rPr>
          <w:rFonts w:ascii="Calibri" w:hAnsi="Calibri" w:eastAsia="Calibri" w:cs="Calibri"/>
          <w:b/>
          <w:bCs/>
          <w:color w:val="1F3A5F"/>
          <w:sz w:val="36"/>
          <w:szCs w:val="36"/>
        </w:rPr>
      </w:pPr>
      <w:r>
        <w:rPr>
          <w:rFonts w:eastAsia="Calibri" w:cs="Calibri"/>
          <w:b/>
          <w:bCs/>
          <w:color w:val="1F3A5F"/>
          <w:sz w:val="36"/>
          <w:szCs w:val="36"/>
        </w:rPr>
      </w:r>
    </w:p>
    <w:p>
      <w:pPr>
        <w:pStyle w:val="Normal"/>
        <w:spacing w:before="0" w:after="200"/>
        <w:jc w:val="center"/>
        <w:rPr>
          <w:rFonts w:ascii="Calibri" w:hAnsi="Calibri" w:eastAsia="Calibri" w:cs="Calibri"/>
          <w:color w:val="6B7280"/>
          <w:sz w:val="22"/>
          <w:szCs w:val="22"/>
        </w:rPr>
      </w:pPr>
      <w:r>
        <w:rPr>
          <w:rFonts w:eastAsia="Calibri" w:cs="Calibri"/>
          <w:color w:val="6B7280"/>
          <w:sz w:val="22"/>
          <w:szCs w:val="22"/>
        </w:rPr>
        <w:t>Actividad Evaluada Ae6 – Suite de pruebas JUnit 5, cobertura JaCoCo y Pull Request documentado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399"/>
        <w:gridCol w:w="723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Facultad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Facultad de Ingeniería y Ciencias Aplicadas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Estudiante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Joffre Barre Veliz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Carrera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Ingeniería en Computación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Período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PEL 4 – 2026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Fecha de entrega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28 de septiembre de 2026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Repositorio GitHub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https://github.com/joffrebarrev/semana7-pruebas-unitarias-ae6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Rama de trabajo</w:t>
            </w:r>
          </w:p>
        </w:tc>
        <w:tc>
          <w:tcPr>
            <w:tcW w:w="72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ae6/suite-pruebas  (Pull Request hacia main)</w:t>
            </w:r>
          </w:p>
        </w:tc>
      </w:tr>
    </w:tbl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1. Objetivo de la actividad Ae6</w:t>
      </w:r>
    </w:p>
    <w:p>
      <w:pPr>
        <w:pStyle w:val="Normal"/>
        <w:spacing w:lineRule="auto" w:line="276" w:before="0" w:after="1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Diseñar, implementar y documentar una suite de pruebas unitarias automatizada para el servicio de reservas (ReservaService) del Sistema de gestión de tutorías. La suite combina pruebas de estado y de frontera con pruebas de interacción, para las que se usan dobles de prueba (Stub y Mock) con JUnit 5 y Mockito. Se mide la cobertura con JaCoCo y se deja trazabilidad mediante una rama de Git, commits descriptivos y un Pull Request con autorrevisión técnica.</w:t>
      </w:r>
    </w:p>
    <w:p>
      <w:pPr>
        <w:pStyle w:val="Normal"/>
        <w:spacing w:lineRule="auto" w:line="276" w:before="0" w:after="1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Heading1"/>
        <w:pBdr>
          <w:bottom w:val="single" w:sz="6" w:space="2" w:color="1B8A8F"/>
        </w:pBdr>
        <w:spacing w:before="300" w:after="120"/>
        <w:jc w:val="both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2. Reglas de negocio y matriz de casos de prueba</w:t>
      </w:r>
    </w:p>
    <w:p>
      <w:pPr>
        <w:pStyle w:val="Heading2"/>
        <w:spacing w:before="200" w:after="80"/>
        <w:jc w:val="both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2.1 Reglas de negocio protegidas</w:t>
      </w:r>
    </w:p>
    <w:p>
      <w:pPr>
        <w:pStyle w:val="ListParagraph"/>
        <w:numPr>
          <w:ilvl w:val="0"/>
          <w:numId w:val="3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Cancelación: </w:t>
      </w:r>
      <w:r>
        <w:rPr>
          <w:rFonts w:eastAsia="Calibri" w:cs="Calibri"/>
          <w:sz w:val="22"/>
          <w:szCs w:val="22"/>
        </w:rPr>
        <w:t>solo se permite cancelar con 2 o más horas de anticipación (horas &gt;= 2).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Descuentos: </w:t>
      </w:r>
      <w:r>
        <w:rPr>
          <w:rFonts w:eastAsia="Calibri" w:cs="Calibri"/>
          <w:sz w:val="22"/>
          <w:szCs w:val="22"/>
        </w:rPr>
        <w:t>VIP 15 %, ESTUDIANTE 10 % y NORMAL 0 %. Un monto base negativo lanza IllegalArgumentException ("Total base inválido"); un monto base de 0.0 es válido y devuelve 0.0.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Confirmación: </w:t>
      </w:r>
      <w:r>
        <w:rPr>
          <w:rFonts w:eastAsia="Calibri" w:cs="Calibri"/>
          <w:sz w:val="22"/>
          <w:szCs w:val="22"/>
        </w:rPr>
        <w:t>consulta la disponibilidad externa (DisponibilidadClient). Si hay disponibilidad, la reserva pasa a CONFIRMADA, se guarda en ReservaRepository y se notifica con Notificador. Si no la hay, lanza IllegalStateException y no se invoca ni la persistencia ni la notificación. Una reserva nula lanza IllegalArgumentException sin consultar a ningún colaborador.</w:t>
      </w:r>
    </w:p>
    <w:p>
      <w:pPr>
        <w:pStyle w:val="ListParagraph"/>
        <w:spacing w:lineRule="auto" w:line="276" w:before="0" w:after="8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ListParagraph"/>
        <w:spacing w:lineRule="auto" w:line="276" w:before="0" w:after="8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ListParagraph"/>
        <w:spacing w:lineRule="auto" w:line="276" w:before="0" w:after="8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ListParagraph"/>
        <w:spacing w:lineRule="auto" w:line="276" w:before="0" w:after="8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2.2 Matriz de casos de prueba implementados (12)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19"/>
        <w:gridCol w:w="1251"/>
        <w:gridCol w:w="1599"/>
        <w:gridCol w:w="1500"/>
        <w:gridCol w:w="1931"/>
        <w:gridCol w:w="980"/>
        <w:gridCol w:w="1658"/>
      </w:tblGrid>
      <w:tr>
        <w:trPr>
          <w:tblHeader w:val="true"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Entradas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Doble de prueba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CP-01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puedeCancelar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Cancelación normal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horas = 5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true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Normal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CP-02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puedeCancelar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Límite exacto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horas = 2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true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Límite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CP-03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puedeCancelar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Debajo del límite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horas = 1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false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Límite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CP-04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puedeCancelar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Sin anticipación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horas = 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false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Límite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CP-05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calcularTotal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Cliente NORMAL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"NORMAL", 100.0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100.0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Normal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CP-06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calcularTotal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Cliente VIP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"VIP", 100.0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85.0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Alternativo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CP-07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calcularTotal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Cliente ESTUDIANTE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"ESTUDIANTE", 100.0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90.0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Alternativo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CP-08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calcularTotal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Total base cero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"VIP", 0.0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0.0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Límite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CP-08b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calcularTotal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Total base negativo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"NORMAL", -1.0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IllegalArgumentException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Inválido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N/A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CP-09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confirmar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Disponible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Reserva("R-001"), disponible = true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CONFIRMADA, guardada y notificada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Normal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Stub (Disponibilidad) + Mock (Repo/Notif.)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CP-10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confirmar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No disponible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Reserva("R-002"), disponible = false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IllegalStateException; no guarda ni notifica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Alternativo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Stub + Mock (never)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6"/>
                <w:szCs w:val="16"/>
              </w:rPr>
              <w:t>CP-11</w:t>
            </w:r>
          </w:p>
        </w:tc>
        <w:tc>
          <w:tcPr>
            <w:tcW w:w="125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confirmar</w:t>
            </w:r>
          </w:p>
        </w:tc>
        <w:tc>
          <w:tcPr>
            <w:tcW w:w="15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Reserva nula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null</w:t>
            </w:r>
          </w:p>
        </w:tc>
        <w:tc>
          <w:tcPr>
            <w:tcW w:w="193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IllegalArgumentException; sin interacciones</w:t>
            </w:r>
          </w:p>
        </w:tc>
        <w:tc>
          <w:tcPr>
            <w:tcW w:w="98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Inválido</w:t>
            </w:r>
          </w:p>
        </w:tc>
        <w:tc>
          <w:tcPr>
            <w:tcW w:w="165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6"/>
                <w:szCs w:val="16"/>
              </w:rPr>
              <w:t>Mock (never)</w:t>
            </w:r>
          </w:p>
        </w:tc>
      </w:tr>
    </w:tbl>
    <w:p>
      <w:pPr>
        <w:pStyle w:val="Normal"/>
        <w:spacing w:before="100" w:after="120"/>
        <w:jc w:val="both"/>
        <w:rPr/>
      </w:pPr>
      <w:r>
        <w:rPr>
          <w:rFonts w:eastAsia="Calibri" w:cs="Calibri"/>
          <w:color w:val="6B7280"/>
          <w:sz w:val="20"/>
          <w:szCs w:val="20"/>
        </w:rPr>
        <w:t>Distribución por tipo: 3 normales (CP-01, CP-05, CP-09), 3 alternativos (CP-06, CP-07, CP-10), 4 de frontera (CP-02, CP-03, CP-04, CP-08) y 2 inválidos (CP-08b, CP-11).</w:t>
      </w:r>
    </w:p>
    <w:p>
      <w:pPr>
        <w:pStyle w:val="Heading1"/>
        <w:pBdr>
          <w:bottom w:val="single" w:sz="6" w:space="2" w:color="1B8A8F"/>
        </w:pBdr>
        <w:spacing w:before="300" w:after="120"/>
        <w:jc w:val="both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3. Implementación JUnit 5 y patrón AAA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Calibri" w:cs="Calibri"/>
          <w:sz w:val="22"/>
          <w:szCs w:val="22"/>
        </w:rPr>
        <w:t>La suite está en src/test/java/edu/uees/testing/service/ReservaServiceTest.java. Cada prueba sigue el patrón Arrange-Act-Assert y lleva un @DisplayName con su ID de la matriz, lo que permite rastrear cada prueba hasta el caso que la origina.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Arrange: </w:t>
      </w:r>
      <w:r>
        <w:rPr>
          <w:rFonts w:eastAsia="Calibri" w:cs="Calibri"/>
          <w:sz w:val="22"/>
          <w:szCs w:val="22"/>
        </w:rPr>
        <w:t>configuración de los dobles (when(...).thenReturn(...)) y creación de los datos de entrada.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Act: </w:t>
      </w:r>
      <w:r>
        <w:rPr>
          <w:rFonts w:eastAsia="Calibri" w:cs="Calibri"/>
          <w:sz w:val="22"/>
          <w:szCs w:val="22"/>
        </w:rPr>
        <w:t>una sola llamada al método bajo prueba de ReservaService.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Assert: </w:t>
      </w:r>
      <w:r>
        <w:rPr>
          <w:rFonts w:eastAsia="Calibri" w:cs="Calibri"/>
          <w:sz w:val="22"/>
          <w:szCs w:val="22"/>
        </w:rPr>
        <w:t>assertTrue/assertFalse/assertEquals/assertThrows para el resultado y verify(...) para las interacciones.</w:t>
      </w:r>
    </w:p>
    <w:p>
      <w:pPr>
        <w:pStyle w:val="Normal"/>
        <w:spacing w:before="80" w:after="120"/>
        <w:jc w:val="both"/>
        <w:rPr/>
      </w:pPr>
      <w:r>
        <w:rPr>
          <w:rFonts w:eastAsia="Calibri" w:cs="Calibri"/>
          <w:sz w:val="22"/>
          <w:szCs w:val="22"/>
        </w:rPr>
        <w:t>El método @BeforeEach recrea el servicio y sus tres dobles antes de cada prueba, de modo que ninguna prueba depende del estado de otra. El constructor recibe los colaboradores en el orden (repository, notificador, disponibilidad); ese orden fue el error de instanciación corregido en el commit 4c322de.</w:t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Fragmento representativo (comentarios AAA añadidos solo para ilustrar)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@BeforeEach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void setUp() {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repository = mock(ReservaRepository.class);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notificador = mock(Notificador.class);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disponibilidad = mock(DisponibilidadClient.class);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servicio = new ReservaService(repository, notificador, disponibilidad);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}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@Test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@DisplayName("CP-09: Reserva disponible se confirma, guarda y notifica")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void reservaDisponibleSeConfirmaGuardaYNotifica() {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when(disponibilidad.estaDisponible(any())).thenReturn(true);   // Arrange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Reserva reserva = new Reserva("R-001", "NORMAL");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servicio.confirmar(reserva);                                   // Act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assertEquals(EstadoReserva.CONFIRMADA, reserva.getEstado());   // Assert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verify(repository).guardar(reserva);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verify(notificador).enviarConfirmacion(reserva);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}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@Test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@DisplayName("CP-10: Reserva no disponible lanza excepción y no se guarda ni notifica")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void reservaNoDisponibleNoSeGuardaNiNotifica() {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when(disponibilidad.estaDisponible(any())).thenReturn(false);  // Arrange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Reserva reserva = new Reserva("R-002", "NORMAL");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assertThrows(IllegalStateException.class,                      // Act + Assert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</w:t>
      </w:r>
      <w:r>
        <w:rPr>
          <w:rFonts w:eastAsia="Consolas" w:cs="Consolas" w:ascii="Consolas" w:hAnsi="Consolas"/>
          <w:sz w:val="17"/>
          <w:szCs w:val="17"/>
        </w:rPr>
        <w:t>() -&gt; servicio.confirmar(reserva));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verify(repository, never()).guardar(any());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verify(notificador, never()).enviarConfirmacion(any());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}</w:t>
      </w:r>
    </w:p>
    <w:p>
      <w:pPr>
        <w:pStyle w:val="Normal"/>
        <w:spacing w:before="100" w:after="120"/>
        <w:rPr/>
      </w:pPr>
      <w:r>
        <w:rPr>
          <w:rFonts w:eastAsia="Calibri" w:cs="Calibri"/>
          <w:sz w:val="22"/>
          <w:szCs w:val="22"/>
        </w:rPr>
        <w:t>El código completo de las 12 pruebas está en el repositorio (sección 11).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4. Dobles de prueba utilizados y justificación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00"/>
        <w:gridCol w:w="1500"/>
        <w:gridCol w:w="5938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Colaborador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59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DisponibilidadClient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Stub</w:t>
            </w:r>
          </w:p>
        </w:tc>
        <w:tc>
          <w:tcPr>
            <w:tcW w:w="59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fija su respuesta con when(disponibilidad.estaDisponible(any())).thenReturn(true/false). Así se fuerzan los caminos “hay disponibilidad” y “no hay disponibilidad” sin depender de una red ni de un servidor real. Solo controla la entrada; no se verifica cuántas veces se llamó, salvo en CP-11 donde se comprueba que no se consultó.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ReservaRepository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Mock</w:t>
            </w:r>
          </w:p>
        </w:tc>
        <w:tc>
          <w:tcPr>
            <w:tcW w:w="59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verifica el comportamiento: verify(repository).guardar(reserva) en el flujo válido y verify(repository, never()).guardar(any()) cuando no hay disponibilidad o la reserva es nula. Evita usar una base de datos real.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Notificador</w:t>
            </w:r>
          </w:p>
        </w:tc>
        <w:tc>
          <w:tcPr>
            <w:tcW w:w="15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Mock</w:t>
            </w:r>
          </w:p>
        </w:tc>
        <w:tc>
          <w:tcPr>
            <w:tcW w:w="59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Se verifica que enviarConfirmacion(reserva) ocurra solo cuando la confirmación es exitosa, sin enviar correos reales.</w:t>
            </w:r>
          </w:p>
        </w:tc>
      </w:tr>
    </w:tbl>
    <w:p>
      <w:pPr>
        <w:pStyle w:val="Normal"/>
        <w:spacing w:before="100" w:after="120"/>
        <w:rPr/>
      </w:pPr>
      <w:r>
        <w:rPr>
          <w:rFonts w:eastAsia="Calibri" w:cs="Calibri"/>
          <w:color w:val="6B7280"/>
          <w:sz w:val="20"/>
          <w:szCs w:val="20"/>
        </w:rPr>
        <w:t>Nota: en Mockito los tres objetos se crean con mock(...). La diferencia entre Stub y Mock está en el uso: el Stub entrega respuestas preprogramadas (when/thenReturn) y el Mock sirve para verificar interacciones (verify).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5. Resultado de ejecución (mvn clean test)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La suite completa se ejecutó desde la terminal integrada de VS Code con Maven. Al terminar las pruebas se genera el reporte de JaCoCo (jacoco:0.8.12:report).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199"/>
        <w:gridCol w:w="6439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mvn clean test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Clase de prueba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edu.uees.testing.service.ReservaServiceTest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Pruebas ejecutadas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Failures / Errors / Skipped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 / 0 / 0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Estado del build</w:t>
            </w:r>
          </w:p>
        </w:tc>
        <w:tc>
          <w:tcPr>
            <w:tcW w:w="64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BUILD SUCCESS  (28/09/2026)</w:t>
            </w:r>
          </w:p>
        </w:tc>
      </w:tr>
    </w:tbl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2962275"/>
            <wp:effectExtent l="0" t="0" r="0" b="0"/>
            <wp:docPr id="3" name="Figura 1. Ejecución de mvn clean test: 12 pruebas, 0 fallos, BUILD SUCCESS y generación del reporte JaCoCo." descr="Figura 1. Ejecución de mvn clean test: 12 pruebas, 0 fallos, BUILD SUCCESS y generación del reporte JaCoCo." title="Figura 1. Ejecución de mvn clean test: 12 pruebas, 0 fallos, BUILD SUCCESS y generación del reporte JaCo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 1. Ejecución de mvn clean test: 12 pruebas, 0 fallos, BUILD SUCCESS y generación del reporte JaCoCo." descr="Figura 1. Ejecución de mvn clean test: 12 pruebas, 0 fallos, BUILD SUCCESS y generación del reporte JaCoCo." title="Figura 1. Ejecución de mvn clean test: 12 pruebas, 0 fallos, BUILD SUCCESS y generación del reporte JaCoC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Calibri" w:cs="Calibri"/>
          <w:i/>
          <w:iCs/>
          <w:color w:val="6B7280"/>
          <w:sz w:val="19"/>
          <w:szCs w:val="19"/>
        </w:rPr>
        <w:t>Figura 1. Ejecución de mvn clean test: 12 pruebas, 0 fallos, BUILD SUCCESS y generación del reporte JaCoCo.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6. Cobertura JaCoCo e interpretación técnica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El reporte HTML se genera en target/site/jacoco/index.html. Para la clase edu.uees.testing.service.ReservaService se obtuvo: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000"/>
        <w:gridCol w:w="2000"/>
        <w:gridCol w:w="4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  <w:tc>
          <w:tcPr>
            <w:tcW w:w="46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Instrucciones</w:t>
            </w:r>
          </w:p>
        </w:tc>
        <w:tc>
          <w:tcPr>
            <w:tcW w:w="2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100 %</w:t>
            </w:r>
          </w:p>
        </w:tc>
        <w:tc>
          <w:tcPr>
            <w:tcW w:w="46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Todas las instrucciones de bytecode ejecutadas.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Ramas (branches)</w:t>
            </w:r>
          </w:p>
        </w:tc>
        <w:tc>
          <w:tcPr>
            <w:tcW w:w="2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100 %</w:t>
            </w:r>
          </w:p>
        </w:tc>
        <w:tc>
          <w:tcPr>
            <w:tcW w:w="46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Ambos lados de cada condición ejecutados.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Métodos</w:t>
            </w:r>
          </w:p>
        </w:tc>
        <w:tc>
          <w:tcPr>
            <w:tcW w:w="2000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 / 3</w:t>
            </w:r>
          </w:p>
        </w:tc>
        <w:tc>
          <w:tcPr>
            <w:tcW w:w="46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puedeCancelar, calcularTotal y confirmar.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160"/>
        <w:jc w:val="center"/>
        <w:rPr>
          <w:rFonts w:ascii="Calibri" w:hAnsi="Calibri" w:eastAsia="Calibri" w:cs="Calibri"/>
          <w:i/>
          <w:iCs/>
          <w:color w:val="6B7280"/>
          <w:sz w:val="19"/>
          <w:szCs w:val="19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6930" cy="1775460"/>
            <wp:effectExtent l="0" t="0" r="0" b="0"/>
            <wp:wrapSquare wrapText="largest"/>
            <wp:docPr id="4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/>
          <w:i/>
          <w:iCs/>
          <w:color w:val="6B7280"/>
          <w:sz w:val="19"/>
          <w:szCs w:val="19"/>
        </w:rPr>
        <w:t>Figura 2. Reporte JaCoCo de ReservaService (index.html).</w:t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Cobertura por método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299"/>
        <w:gridCol w:w="2001"/>
        <w:gridCol w:w="5338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00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Casos</w:t>
            </w:r>
          </w:p>
        </w:tc>
        <w:tc>
          <w:tcPr>
            <w:tcW w:w="53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Ramas cubiertas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puedeCancelar</w:t>
            </w:r>
          </w:p>
        </w:tc>
        <w:tc>
          <w:tcPr>
            <w:tcW w:w="200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CP-01 a CP-04</w:t>
            </w:r>
          </w:p>
        </w:tc>
        <w:tc>
          <w:tcPr>
            <w:tcW w:w="53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Condición horas &gt;= 2: por encima (5), límite exacto (2), debajo (1) y cero (0).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calcularTotal</w:t>
            </w:r>
          </w:p>
        </w:tc>
        <w:tc>
          <w:tcPr>
            <w:tcW w:w="200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CP-05 a CP-08b</w:t>
            </w:r>
          </w:p>
        </w:tc>
        <w:tc>
          <w:tcPr>
            <w:tcW w:w="53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Los tres tipos de cliente (NORMAL, VIP, ESTUDIANTE), el total cero y la guarda de total negativo.</w:t>
            </w:r>
          </w:p>
        </w:tc>
      </w:tr>
      <w:tr>
        <w:trPr>
          <w:cantSplit/>
        </w:trPr>
        <w:tc>
          <w:tcPr>
            <w:tcW w:w="22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confirmar</w:t>
            </w:r>
          </w:p>
        </w:tc>
        <w:tc>
          <w:tcPr>
            <w:tcW w:w="2001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CP-09 a CP-11</w:t>
            </w:r>
          </w:p>
        </w:tc>
        <w:tc>
          <w:tcPr>
            <w:tcW w:w="5338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Reserva nula, disponibilidad verdadera y disponibilidad falsa.</w:t>
            </w:r>
          </w:p>
        </w:tc>
      </w:tr>
    </w:tbl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¿Por qué 100 % de cobertura no garantiza la ausencia de errores?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JaCoCo solo demuestra qué instrucciones y ramas se ejecutaron al menos una vez; no mide si las pruebas comprueban lo correcto. Por eso este resultado tiene límites claros: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Código cubierto pero mal probado: </w:t>
      </w:r>
      <w:r>
        <w:rPr>
          <w:rFonts w:eastAsia="Calibri" w:cs="Calibri"/>
          <w:sz w:val="22"/>
          <w:szCs w:val="22"/>
        </w:rPr>
        <w:t>si se borrara el assertEquals de CP-06, la línea seguiría en verde y la cobertura no cambiaría. El valor de la prueba está en sus aserciones (assertEquals, assertThrows, verify), no en el porcentaje.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Reglas omitidas: </w:t>
      </w:r>
      <w:r>
        <w:rPr>
          <w:rFonts w:eastAsia="Calibri" w:cs="Calibri"/>
          <w:sz w:val="22"/>
          <w:szCs w:val="22"/>
        </w:rPr>
        <w:t>si el negocio exigiera validar que el tipo de cliente no sea nulo o que el ID de la reserva no esté vacío y el código no lo implementa, JaCoCo seguiría marcando 100 %.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Comportamientos no probados: </w:t>
      </w:r>
      <w:r>
        <w:rPr>
          <w:rFonts w:eastAsia="Calibri" w:cs="Calibri"/>
          <w:sz w:val="22"/>
          <w:szCs w:val="22"/>
        </w:rPr>
        <w:t>la matriz no incluye qué ocurre si Notificador falla después de guardar la reserva; ese camino no está especificado ni probado.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rPr/>
      </w:pPr>
      <w:r>
        <w:rPr>
          <w:rFonts w:eastAsia="Calibri" w:cs="Calibri"/>
          <w:b/>
          <w:bCs/>
          <w:sz w:val="22"/>
          <w:szCs w:val="22"/>
        </w:rPr>
        <w:t xml:space="preserve">Entorno real: </w:t>
      </w:r>
      <w:r>
        <w:rPr>
          <w:rFonts w:eastAsia="Calibri" w:cs="Calibri"/>
          <w:sz w:val="22"/>
          <w:szCs w:val="22"/>
        </w:rPr>
        <w:t>con dobles no se detectan problemas de concurrencia, latencia de red ni bloqueos de base de datos.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7. Trazabilidad con Git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El trabajo se realizó en una rama específica creada desde la línea base del proyecto y subida al repositorio remoto: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git switch -c ae6/suite-pruebas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git add .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git commit -m "test: corregir constructor ReservaService e integrar suite JUnit 5 con mocks"</w:t>
      </w:r>
    </w:p>
    <w:p>
      <w:pPr>
        <w:pStyle w:val="Normal"/>
        <w:keepLines/>
        <w:pBdr>
          <w:left w:val="single" w:sz="18" w:space="6" w:color="1B8A8F"/>
        </w:pBdr>
        <w:shd w:val="clear" w:color="auto" w:fill="F1F3F5"/>
        <w:spacing w:lineRule="auto" w:line="240" w:before="0" w:after="0"/>
        <w:ind w:start="120"/>
        <w:rPr/>
      </w:pPr>
      <w:r>
        <w:rPr>
          <w:rFonts w:eastAsia="Consolas" w:cs="Consolas" w:ascii="Consolas" w:hAnsi="Consolas"/>
          <w:sz w:val="17"/>
          <w:szCs w:val="17"/>
        </w:rPr>
        <w:t>git push -u origin ae6/suite-pruebas</w:t>
      </w:r>
    </w:p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499"/>
        <w:gridCol w:w="8139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Commit</w:t>
            </w:r>
          </w:p>
        </w:tc>
        <w:tc>
          <w:tcPr>
            <w:tcW w:w="81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Mensaje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4c322de</w:t>
            </w:r>
          </w:p>
        </w:tc>
        <w:tc>
          <w:tcPr>
            <w:tcW w:w="81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test: corregir constructor ReservaService e integrar suite JUnit 5 con mocks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8f21a41</w:t>
            </w:r>
          </w:p>
        </w:tc>
        <w:tc>
          <w:tcPr>
            <w:tcW w:w="81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docs: completar matriz de casos y reporte de cobertura jacoco</w:t>
            </w:r>
          </w:p>
        </w:tc>
      </w:tr>
    </w:tbl>
    <w:p>
      <w:pPr>
        <w:pStyle w:val="Normal"/>
        <w:spacing w:before="120" w:after="40"/>
        <w:rPr/>
      </w:pPr>
      <w:r>
        <w:rPr>
          <w:rFonts w:eastAsia="Calibri" w:cs="Calibri"/>
          <w:b/>
          <w:bCs/>
          <w:sz w:val="22"/>
          <w:szCs w:val="22"/>
        </w:rPr>
        <w:t xml:space="preserve">Repositorio: </w:t>
      </w:r>
      <w:hyperlink r:id="rId6">
        <w:r>
          <w:rPr>
            <w:rStyle w:val="Style3"/>
            <w:rFonts w:eastAsia="Calibri" w:cs="Calibri"/>
            <w:color w:val="0563C1"/>
            <w:sz w:val="22"/>
            <w:szCs w:val="22"/>
            <w:u w:val="single"/>
          </w:rPr>
          <w:t>https://github.com/joffrebarrev/semana7-pruebas-unitarias-ae6</w:t>
        </w:r>
      </w:hyperlink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sz w:val="22"/>
          <w:szCs w:val="22"/>
        </w:rPr>
        <w:t xml:space="preserve">Rama ae6/suite-pruebas: </w:t>
      </w:r>
      <w:hyperlink r:id="rId7">
        <w:r>
          <w:rPr>
            <w:rStyle w:val="Style3"/>
            <w:rFonts w:eastAsia="Calibri" w:cs="Calibri"/>
            <w:color w:val="0563C1"/>
            <w:sz w:val="22"/>
            <w:szCs w:val="22"/>
            <w:u w:val="single"/>
          </w:rPr>
          <w:t>https://github.com/joffrebarrev/semana7-pruebas-unitarias-ae6/tree/ae6/suite-pruebas</w:t>
        </w:r>
      </w:hyperlink>
    </w:p>
    <w:p>
      <w:pPr>
        <w:pStyle w:val="Normal"/>
        <w:spacing w:before="60" w:after="160"/>
        <w:jc w:val="center"/>
        <w:rPr>
          <w:rFonts w:ascii="Calibri" w:hAnsi="Calibri" w:eastAsia="Calibri" w:cs="Calibri"/>
          <w:i/>
          <w:iCs/>
          <w:color w:val="6B7280"/>
          <w:sz w:val="19"/>
          <w:szCs w:val="19"/>
        </w:rPr>
      </w:pPr>
      <w:r>
        <w:rPr>
          <w:rFonts w:eastAsia="Calibri" w:cs="Calibri"/>
          <w:i/>
          <w:iCs/>
          <w:color w:val="6B7280"/>
          <w:sz w:val="19"/>
          <w:szCs w:val="19"/>
        </w:rPr>
      </w:r>
    </w:p>
    <w:p>
      <w:pPr>
        <w:pStyle w:val="Normal"/>
        <w:spacing w:before="60" w:after="160"/>
        <w:jc w:val="center"/>
        <w:rPr>
          <w:rFonts w:ascii="Calibri" w:hAnsi="Calibri" w:eastAsia="Calibri" w:cs="Calibri"/>
          <w:i/>
          <w:iCs/>
          <w:color w:val="6B7280"/>
          <w:sz w:val="19"/>
          <w:szCs w:val="19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22655"/>
            <wp:effectExtent l="0" t="0" r="0" b="0"/>
            <wp:wrapSquare wrapText="largest"/>
            <wp:docPr id="5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/>
          <w:i/>
          <w:iCs/>
          <w:color w:val="6B7280"/>
          <w:sz w:val="19"/>
          <w:szCs w:val="19"/>
        </w:rPr>
        <w:t>Figura 3. Historial de commits de la rama ae6/suite-pruebas.</w:t>
      </w:r>
    </w:p>
    <w:p>
      <w:pPr>
        <w:pStyle w:val="Heading1"/>
        <w:pBdr>
          <w:bottom w:val="single" w:sz="6" w:space="2" w:color="1B8A8F"/>
        </w:pBdr>
        <w:spacing w:before="300" w:after="120"/>
        <w:rPr>
          <w:rFonts w:ascii="Calibri" w:hAnsi="Calibri" w:eastAsia="Calibri" w:cs="Calibri"/>
          <w:b/>
          <w:bCs/>
          <w:color w:val="1F3A5F"/>
          <w:sz w:val="28"/>
          <w:szCs w:val="28"/>
        </w:rPr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8. Pull Request y autorrevisión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/>
          <w:sz w:val="22"/>
          <w:szCs w:val="22"/>
        </w:rPr>
        <w:t>El Pull Request va de ae6/suite-pruebas hacia main y está documentado en docs/03_PULL_REQUEST_PLANTILLA.md.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1999"/>
        <w:gridCol w:w="7639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Apartado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test: suite JUnit 5 con Mockito y cobertura JaCoCo para ReservaService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Proteger las reglas de negocio del servicio de reservas (cancelación, descuentos y confirmación) con pruebas automatizadas.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Cambios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12 pruebas JUnit 5 con patrón AAA; Stub de DisponibilidadClient; Mocks de ReservaRepository y Notificador; matriz de casos; análisis de cobertura JaCoCo; corrección del orden de argumentos del constructor.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Verificación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mvn clean test: 12 pruebas, 0 fallos, 0 errores, BUILD SUCCESS. Cobertura de ReservaService: 100 % de instrucciones y de ramas.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Riesgos / límites</w:t>
            </w:r>
          </w:p>
        </w:tc>
        <w:tc>
          <w:tcPr>
            <w:tcW w:w="76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No se prueba integración real con base de datos ni con el servicio externo de disponibilidad.</w:t>
            </w:r>
          </w:p>
        </w:tc>
      </w:tr>
    </w:tbl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1B8A8F"/>
          <w:sz w:val="24"/>
          <w:szCs w:val="24"/>
        </w:rPr>
        <w:t>Checklist de autorrevisión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Repositorio limpio: sin carpeta target/ ni archivos generados en el commit.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Los nombres de las pruebas describen el caso y llevan su ID de la matriz (CP-xx).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Cada prueba sigue el patrón Arrange-Act-Assert.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Los Stubs y Mocks tienen justificación técnica (sección 4).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mvn clean test se ejecuta en verde de forma local.</w:t>
      </w:r>
    </w:p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B8A8F"/>
          <w:sz w:val="22"/>
          <w:szCs w:val="22"/>
        </w:rPr>
        <w:t xml:space="preserve">☑  </w:t>
      </w:r>
      <w:r>
        <w:rPr>
          <w:rFonts w:eastAsia="Calibri" w:cs="Calibri"/>
          <w:sz w:val="22"/>
          <w:szCs w:val="22"/>
        </w:rPr>
        <w:t>El README describe las ramas, las 12 pruebas y cómo ejecutarlas.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160"/>
        <w:jc w:val="center"/>
        <w:rPr>
          <w:rFonts w:ascii="Calibri" w:hAnsi="Calibri" w:eastAsia="Calibri" w:cs="Calibri"/>
          <w:i/>
          <w:iCs/>
          <w:color w:val="6B7280"/>
          <w:sz w:val="19"/>
          <w:szCs w:val="19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1920"/>
            <wp:effectExtent l="0" t="0" r="0" b="0"/>
            <wp:wrapSquare wrapText="largest"/>
            <wp:docPr id="6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/>
          <w:i/>
          <w:iCs/>
          <w:color w:val="6B7280"/>
          <w:sz w:val="19"/>
          <w:szCs w:val="19"/>
        </w:rPr>
        <w:t>Figura 4. Pull Request de ae6/suite-pruebas hacia main.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9. Conclusiones, limitaciones y trabajo futuro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Conclusiones: </w:t>
      </w:r>
      <w:r>
        <w:rPr>
          <w:rFonts w:eastAsia="Calibri" w:cs="Calibri"/>
          <w:sz w:val="22"/>
          <w:szCs w:val="22"/>
        </w:rPr>
        <w:t>la suite protege las tres reglas de negocio ante futuras refactorizaciones y se ejecuta en pocos segundos. Los dobles de prueba permitieron probar confirmar() de forma aislada, sin red, base de datos ni correo real. Las pruebas de frontera (2 horas y total 0.0) son las que más valor aportan porque los errores suelen aparecer justo en el límite.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Limitaciones: </w:t>
      </w:r>
      <w:r>
        <w:rPr>
          <w:rFonts w:eastAsia="Calibri" w:cs="Calibri"/>
          <w:sz w:val="22"/>
          <w:szCs w:val="22"/>
        </w:rPr>
        <w:t>son pruebas unitarias; no validan la integración con persistencia ni con el servicio real de disponibilidad. El comportamiento cuando el Notificador falla no está especificado ni probado.</w:t>
      </w:r>
    </w:p>
    <w:p>
      <w:pPr>
        <w:pStyle w:val="ListParagraph"/>
        <w:numPr>
          <w:ilvl w:val="0"/>
          <w:numId w:val="1"/>
        </w:numPr>
        <w:spacing w:lineRule="auto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 xml:space="preserve">Trabajo futuro: </w:t>
      </w:r>
      <w:r>
        <w:rPr>
          <w:rFonts w:eastAsia="Calibri" w:cs="Calibri"/>
          <w:sz w:val="22"/>
          <w:szCs w:val="22"/>
        </w:rPr>
        <w:t>agregar una prueba para el fallo del Notificador, medir la calidad de las aserciones con pruebas de mutación (PIT) y añadir pruebas de integración con una base de datos de prueba.</w:t>
      </w:r>
    </w:p>
    <w:p>
      <w:pPr>
        <w:pStyle w:val="ListParagraph"/>
        <w:spacing w:lineRule="auto" w:line="276" w:before="0" w:after="8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10. Declaración de uso de inteligencia artificial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Calibri" w:cs="Calibri"/>
          <w:sz w:val="22"/>
          <w:szCs w:val="22"/>
        </w:rPr>
        <w:t>Se utilizó un asistente de inteligencia artificial como apoyo para estructurar los Mocks con Mockito, diagnosticar y corregir el orden de los argumentos del constructor de ReservaService y redactar este reporte técnico. El código fue ejecutado y verificado por el estudiante en su entorno local (mvn clean test), y el estudiante revisó y asume la responsabilidad del contenido entregado.</w:t>
      </w:r>
    </w:p>
    <w:p>
      <w:pPr>
        <w:pStyle w:val="Heading1"/>
        <w:pBdr>
          <w:bottom w:val="single" w:sz="6" w:space="2" w:color="1B8A8F"/>
        </w:pBdr>
        <w:spacing w:before="300" w:after="120"/>
        <w:rPr/>
      </w:pPr>
      <w:r>
        <w:rPr>
          <w:rFonts w:eastAsia="Calibri" w:cs="Calibri" w:ascii="Calibri" w:hAnsi="Calibri"/>
          <w:b/>
          <w:bCs/>
          <w:color w:val="1F3A5F"/>
          <w:sz w:val="28"/>
          <w:szCs w:val="28"/>
        </w:rPr>
        <w:t>11. Repositorio y entregables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2799"/>
        <w:gridCol w:w="6839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1F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Ubicación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Repositorio GitHub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https://github.com/joffrebarrev/semana7-pruebas-unitarias-ae6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Rama de trabajo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ae6/suite-pruebas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Matriz de casos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docs/01_MATRIZ_CASOS_PLANTILLA.md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Análisis de cobertura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docs/02_ANALISIS_COBERTURA_PLANTILLA.md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Pull Request (plantilla)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docs/03_PULL_REQUEST_PLANTILLA.md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Suite de pruebas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src/test/java/edu/uees/testing/service/ReservaServiceTest.java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Reporte JaCoCo (local)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target/site/jacoco/index.html</w:t>
            </w:r>
          </w:p>
        </w:tc>
      </w:tr>
      <w:tr>
        <w:trPr>
          <w:cantSplit/>
        </w:trPr>
        <w:tc>
          <w:tcPr>
            <w:tcW w:w="279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sz w:val="18"/>
                <w:szCs w:val="18"/>
              </w:rPr>
              <w:t>URL del Pull Request</w:t>
            </w:r>
          </w:p>
        </w:tc>
        <w:tc>
          <w:tcPr>
            <w:tcW w:w="6839" w:type="dxa"/>
            <w:tcBorders>
              <w:top w:val="single" w:sz="4" w:space="0" w:color="BFC5CD"/>
              <w:start w:val="single" w:sz="4" w:space="0" w:color="BFC5CD"/>
              <w:bottom w:val="single" w:sz="4" w:space="0" w:color="BFC5CD"/>
              <w:end w:val="single" w:sz="4" w:space="0" w:color="BFC5CD"/>
            </w:tcBorders>
            <w:shd w:color="auto" w:fill="F4F6F9" w:val="clear"/>
            <w:vAlign w:val="center"/>
          </w:tcPr>
          <w:p>
            <w:pPr>
              <w:pStyle w:val="Normal"/>
              <w:bidi w:val="0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sz w:val="18"/>
                <w:szCs w:val="18"/>
              </w:rPr>
              <w:t>https://github.com/joffrebarrev/semana7-pruebas-unitarias-ae6/pull/1</w:t>
            </w:r>
          </w:p>
        </w:tc>
      </w:tr>
    </w:tbl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7"/>
        <w:szCs w:val="17"/>
      </w:rPr>
      <w:t xml:space="preserve">UCOM0310 · Ae6 · Joffre Barre Veliz   |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6B7280"/>
        <w:sz w:val="17"/>
        <w:szCs w:val="17"/>
      </w:rPr>
      <w:t xml:space="preserve">UCOM0310 · Ae6 · Joffre Barre Veliz   |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C" w:eastAsia="zh-CN" w:bidi="hi-IN"/>
    </w:rPr>
  </w:style>
  <w:style w:type="paragraph" w:styleId="Heading1">
    <w:name w:val="heading 1"/>
    <w:basedOn w:val="Ttulo"/>
    <w:qFormat/>
    <w:pPr>
      <w:outlineLvl w:val="0"/>
    </w:pPr>
    <w:rPr>
      <w:rFonts w:ascii="Calibri" w:hAnsi="Calibri" w:eastAsia="Calibri" w:cs="Calibri"/>
      <w:b/>
      <w:bCs/>
      <w:sz w:val="28"/>
      <w:szCs w:val="28"/>
    </w:rPr>
  </w:style>
  <w:style w:type="paragraph" w:styleId="Heading2">
    <w:name w:val="heading 2"/>
    <w:basedOn w:val="Ttulo"/>
    <w:qFormat/>
    <w:pPr>
      <w:outlineLvl w:val="1"/>
    </w:pPr>
    <w:rPr>
      <w:rFonts w:ascii="Calibri" w:hAnsi="Calibri" w:eastAsia="Calibri" w:cs="Calibri"/>
      <w:b/>
      <w:bCs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EC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C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github.com/joffrebarrev/semana7-pruebas-unitarias-ae6" TargetMode="External"/><Relationship Id="rId7" Type="http://schemas.openxmlformats.org/officeDocument/2006/relationships/hyperlink" Target="https://github.com/joffrebarrev/semana7-pruebas-unitarias-ae6/tree/ae6/suite-pruebas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7</Pages>
  <Words>1711</Words>
  <Characters>10752</Characters>
  <CharactersWithSpaces>12319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2026-09-28T20:15:28Z</dcterms:created>
  <dc:creator>Joffre Barre Veliz</dc:creator>
  <dc:description/>
  <dc:language>es-EC</dc:language>
  <cp:lastModifiedBy/>
  <dcterms:modified xsi:type="dcterms:W3CDTF">2026-09-28T15:41:08Z</dcterms:modified>
  <cp:revision>2</cp:revision>
  <dc:subject/>
  <dc:title>UCOM0310 Ae6 – Reporte técnico breve</dc:title>
</cp:coreProperties>
</file>