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038"/>
        <w:gridCol w:w="2300"/>
      </w:tblGrid>
      <w:tr>
        <w:tc>
          <w:tcPr>
            <w:tcW w:type="dxa" w:w="23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400050" cy="400050"/>
                  <wp:effectExtent t="0" r="0" b="0" l="0"/>
                  <wp:docPr id="1" name="gear.png" descr="gear.png" title="gea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34"/>
                <w:szCs w:val="34"/>
              </w:rPr>
              <w:t xml:space="preserve">UEES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18"/>
                <w:szCs w:val="18"/>
              </w:rPr>
              <w:t xml:space="preserve">SOFTWARE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18"/>
                <w:szCs w:val="18"/>
              </w:rPr>
              <w:t xml:space="preserve">DESIGN</w:t>
            </w:r>
          </w:p>
        </w:tc>
        <w:tc>
          <w:tcPr>
            <w:tcW w:type="dxa" w:w="5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B8A8F"/>
                <w:sz w:val="28"/>
                <w:szCs w:val="28"/>
              </w:rPr>
              <w:t xml:space="preserve">Universidad Espíritu Santo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Diseño de Software | UCOM0310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Semana 7 · Ae6 – Suite de pruebas, cobertura y Pull Request</w:t>
            </w:r>
          </w:p>
        </w:tc>
        <w:tc>
          <w:tcPr>
            <w:tcW w:type="dxa" w:w="23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grad.png" descr="grad.png" title="gra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Estudiante: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Joffre Barre Veliz</w:t>
            </w:r>
          </w:p>
        </w:tc>
      </w:tr>
    </w:tbl>
    <w:p>
      <w:pPr>
        <w:spacing w:after="40" w:before="240"/>
        <w:jc w:val="center"/>
      </w:pPr>
      <w:r>
        <w:rPr>
          <w:rFonts w:ascii="Calibri" w:cs="Calibri" w:eastAsia="Calibri" w:hAnsi="Calibri"/>
          <w:b/>
          <w:bCs/>
          <w:color w:val="1F3A5F"/>
          <w:sz w:val="36"/>
          <w:szCs w:val="36"/>
        </w:rPr>
        <w:t xml:space="preserve">REPORTE TÉCNICO BREVE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Actividad Evaluada Ae6 – Suite de pruebas JUnit 5, cobertura JaCoCo y Pull Request documentado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2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Facultad</w:t>
            </w:r>
          </w:p>
        </w:tc>
        <w:tc>
          <w:tcPr>
            <w:tcW w:type="dxa" w:w="72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Facultad de Ingeniería y Ciencias Aplicadas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Estudiante</w:t>
            </w:r>
          </w:p>
        </w:tc>
        <w:tc>
          <w:tcPr>
            <w:tcW w:type="dxa" w:w="72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Joffre Barre Veliz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Carrera</w:t>
            </w:r>
          </w:p>
        </w:tc>
        <w:tc>
          <w:tcPr>
            <w:tcW w:type="dxa" w:w="72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Ingeniería en Computación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2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PEL 4 – 2026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de entrega</w:t>
            </w:r>
          </w:p>
        </w:tc>
        <w:tc>
          <w:tcPr>
            <w:tcW w:type="dxa" w:w="72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28 de septiembre de 2026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Repositorio GitHub</w:t>
            </w:r>
          </w:p>
        </w:tc>
        <w:tc>
          <w:tcPr>
            <w:tcW w:type="dxa" w:w="72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https://github.com/joffrebarrev/semana7-pruebas-unitarias-ae6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Rama de trabajo</w:t>
            </w:r>
          </w:p>
        </w:tc>
        <w:tc>
          <w:tcPr>
            <w:tcW w:type="dxa" w:w="72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ae6/suite-pruebas  (Pull Request hacia main)</w:t>
            </w:r>
          </w:p>
        </w:tc>
      </w:tr>
    </w:tbl>
    <w:p>
      <w:pPr>
        <w:pStyle w:val="Heading1"/>
        <w:pBdr>
          <w:bottom w:val="single" w:color="1B8A8F" w:sz="6" w:space="2"/>
        </w:pBdr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1. Objetivo de la actividad Ae6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Diseñar, implementar y documentar una suite de pruebas unitarias automatizada para el servicio de reservas (ReservaService) del Sistema de gestión de tutorías. La suite combina pruebas de estado y de frontera con pruebas de interacción, para las que se usan dobles de prueba (Stub y Mock) con JUnit 5 y Mockito. Se mide la cobertura con JaCoCo y se deja trazabilidad mediante una rama de Git, commits descriptivos y un Pull Request con autorrevisión técnica.</w:t>
      </w:r>
    </w:p>
    <w:p>
      <w:pPr>
        <w:pStyle w:val="Heading1"/>
        <w:pBdr>
          <w:bottom w:val="single" w:color="1B8A8F" w:sz="6" w:space="2"/>
        </w:pBdr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2. Reglas de negocio y matriz de casos de prueba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B8A8F"/>
          <w:sz w:val="24"/>
          <w:szCs w:val="24"/>
        </w:rPr>
        <w:t xml:space="preserve">2.1 Reglas de negocio protegidas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Cancelación: </w:t>
      </w:r>
      <w:r>
        <w:rPr>
          <w:rFonts w:ascii="Calibri" w:cs="Calibri" w:eastAsia="Calibri" w:hAnsi="Calibri"/>
          <w:sz w:val="22"/>
          <w:szCs w:val="22"/>
        </w:rPr>
        <w:t xml:space="preserve">solo se permite cancelar con 2 o más horas de anticipación (horas &gt;= 2).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Descuentos: </w:t>
      </w:r>
      <w:r>
        <w:rPr>
          <w:rFonts w:ascii="Calibri" w:cs="Calibri" w:eastAsia="Calibri" w:hAnsi="Calibri"/>
          <w:sz w:val="22"/>
          <w:szCs w:val="22"/>
        </w:rPr>
        <w:t xml:space="preserve">VIP 15 %, ESTUDIANTE 10 % y NORMAL 0 %. Un monto base negativo lanza IllegalArgumentException ("Total base inválido"); un monto base de 0.0 es válido y devuelve 0.0.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Confirmación: </w:t>
      </w:r>
      <w:r>
        <w:rPr>
          <w:rFonts w:ascii="Calibri" w:cs="Calibri" w:eastAsia="Calibri" w:hAnsi="Calibri"/>
          <w:sz w:val="22"/>
          <w:szCs w:val="22"/>
        </w:rPr>
        <w:t xml:space="preserve">consulta la disponibilidad externa (DisponibilidadClient). Si hay disponibilidad, la reserva pasa a CONFIRMADA, se guarda en ReservaRepository y se notifica con Notificador. Si no la hay, lanza IllegalStateException y no se invoca ni la persistencia ni la notificación. Una reserva nula lanza IllegalArgumentException sin consultar a ningún colaborador.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B8A8F"/>
          <w:sz w:val="24"/>
          <w:szCs w:val="24"/>
        </w:rPr>
        <w:t xml:space="preserve">2.2 Matriz de casos de prueba implementados (12)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1250"/>
        <w:gridCol w:w="1600"/>
        <w:gridCol w:w="1500"/>
        <w:gridCol w:w="1930"/>
        <w:gridCol w:w="980"/>
        <w:gridCol w:w="1658"/>
      </w:tblGrid>
      <w:tr>
        <w:trPr>
          <w:tblHeader/>
        </w:trPr>
        <w:tc>
          <w:tcPr>
            <w:tcW w:type="dxa" w:w="72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2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Método</w:t>
            </w:r>
          </w:p>
        </w:tc>
        <w:tc>
          <w:tcPr>
            <w:tcW w:type="dxa" w:w="1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1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Entradas</w:t>
            </w:r>
          </w:p>
        </w:tc>
        <w:tc>
          <w:tcPr>
            <w:tcW w:type="dxa" w:w="193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Resultado esperado</w:t>
            </w:r>
          </w:p>
        </w:tc>
        <w:tc>
          <w:tcPr>
            <w:tcW w:type="dxa" w:w="98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165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Doble de prueba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CP-01</w:t>
            </w:r>
          </w:p>
        </w:tc>
        <w:tc>
          <w:tcPr>
            <w:tcW w:type="dxa" w:w="12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puedeCancelar</w:t>
            </w:r>
          </w:p>
        </w:tc>
        <w:tc>
          <w:tcPr>
            <w:tcW w:type="dxa" w:w="1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Cancelación normal</w:t>
            </w:r>
          </w:p>
        </w:tc>
        <w:tc>
          <w:tcPr>
            <w:tcW w:type="dxa" w:w="1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horas = 5</w:t>
            </w:r>
          </w:p>
        </w:tc>
        <w:tc>
          <w:tcPr>
            <w:tcW w:type="dxa" w:w="193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98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Normal</w:t>
            </w:r>
          </w:p>
        </w:tc>
        <w:tc>
          <w:tcPr>
            <w:tcW w:type="dxa" w:w="165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CP-02</w:t>
            </w:r>
          </w:p>
        </w:tc>
        <w:tc>
          <w:tcPr>
            <w:tcW w:type="dxa" w:w="12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puedeCancelar</w:t>
            </w:r>
          </w:p>
        </w:tc>
        <w:tc>
          <w:tcPr>
            <w:tcW w:type="dxa" w:w="1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Límite exacto</w:t>
            </w:r>
          </w:p>
        </w:tc>
        <w:tc>
          <w:tcPr>
            <w:tcW w:type="dxa" w:w="1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horas = 2</w:t>
            </w:r>
          </w:p>
        </w:tc>
        <w:tc>
          <w:tcPr>
            <w:tcW w:type="dxa" w:w="193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98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Límite</w:t>
            </w:r>
          </w:p>
        </w:tc>
        <w:tc>
          <w:tcPr>
            <w:tcW w:type="dxa" w:w="165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CP-03</w:t>
            </w:r>
          </w:p>
        </w:tc>
        <w:tc>
          <w:tcPr>
            <w:tcW w:type="dxa" w:w="12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puedeCancelar</w:t>
            </w:r>
          </w:p>
        </w:tc>
        <w:tc>
          <w:tcPr>
            <w:tcW w:type="dxa" w:w="1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Debajo del límite</w:t>
            </w:r>
          </w:p>
        </w:tc>
        <w:tc>
          <w:tcPr>
            <w:tcW w:type="dxa" w:w="1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horas = 1</w:t>
            </w:r>
          </w:p>
        </w:tc>
        <w:tc>
          <w:tcPr>
            <w:tcW w:type="dxa" w:w="193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  <w:tc>
          <w:tcPr>
            <w:tcW w:type="dxa" w:w="98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Límite</w:t>
            </w:r>
          </w:p>
        </w:tc>
        <w:tc>
          <w:tcPr>
            <w:tcW w:type="dxa" w:w="165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CP-04</w:t>
            </w:r>
          </w:p>
        </w:tc>
        <w:tc>
          <w:tcPr>
            <w:tcW w:type="dxa" w:w="12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puedeCancelar</w:t>
            </w:r>
          </w:p>
        </w:tc>
        <w:tc>
          <w:tcPr>
            <w:tcW w:type="dxa" w:w="1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Sin anticipación</w:t>
            </w:r>
          </w:p>
        </w:tc>
        <w:tc>
          <w:tcPr>
            <w:tcW w:type="dxa" w:w="1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horas = 0</w:t>
            </w:r>
          </w:p>
        </w:tc>
        <w:tc>
          <w:tcPr>
            <w:tcW w:type="dxa" w:w="193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  <w:tc>
          <w:tcPr>
            <w:tcW w:type="dxa" w:w="98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Límite</w:t>
            </w:r>
          </w:p>
        </w:tc>
        <w:tc>
          <w:tcPr>
            <w:tcW w:type="dxa" w:w="165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CP-05</w:t>
            </w:r>
          </w:p>
        </w:tc>
        <w:tc>
          <w:tcPr>
            <w:tcW w:type="dxa" w:w="12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calcularTotal</w:t>
            </w:r>
          </w:p>
        </w:tc>
        <w:tc>
          <w:tcPr>
            <w:tcW w:type="dxa" w:w="1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Cliente NORMAL</w:t>
            </w:r>
          </w:p>
        </w:tc>
        <w:tc>
          <w:tcPr>
            <w:tcW w:type="dxa" w:w="1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"NORMAL", 100.0</w:t>
            </w:r>
          </w:p>
        </w:tc>
        <w:tc>
          <w:tcPr>
            <w:tcW w:type="dxa" w:w="193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100.0</w:t>
            </w:r>
          </w:p>
        </w:tc>
        <w:tc>
          <w:tcPr>
            <w:tcW w:type="dxa" w:w="98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Normal</w:t>
            </w:r>
          </w:p>
        </w:tc>
        <w:tc>
          <w:tcPr>
            <w:tcW w:type="dxa" w:w="165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CP-06</w:t>
            </w:r>
          </w:p>
        </w:tc>
        <w:tc>
          <w:tcPr>
            <w:tcW w:type="dxa" w:w="12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calcularTotal</w:t>
            </w:r>
          </w:p>
        </w:tc>
        <w:tc>
          <w:tcPr>
            <w:tcW w:type="dxa" w:w="1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Cliente VIP</w:t>
            </w:r>
          </w:p>
        </w:tc>
        <w:tc>
          <w:tcPr>
            <w:tcW w:type="dxa" w:w="1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"VIP", 100.0</w:t>
            </w:r>
          </w:p>
        </w:tc>
        <w:tc>
          <w:tcPr>
            <w:tcW w:type="dxa" w:w="193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85.0</w:t>
            </w:r>
          </w:p>
        </w:tc>
        <w:tc>
          <w:tcPr>
            <w:tcW w:type="dxa" w:w="98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Alternativo</w:t>
            </w:r>
          </w:p>
        </w:tc>
        <w:tc>
          <w:tcPr>
            <w:tcW w:type="dxa" w:w="165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CP-07</w:t>
            </w:r>
          </w:p>
        </w:tc>
        <w:tc>
          <w:tcPr>
            <w:tcW w:type="dxa" w:w="12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calcularTotal</w:t>
            </w:r>
          </w:p>
        </w:tc>
        <w:tc>
          <w:tcPr>
            <w:tcW w:type="dxa" w:w="1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Cliente ESTUDIANTE</w:t>
            </w:r>
          </w:p>
        </w:tc>
        <w:tc>
          <w:tcPr>
            <w:tcW w:type="dxa" w:w="1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"ESTUDIANTE", 100.0</w:t>
            </w:r>
          </w:p>
        </w:tc>
        <w:tc>
          <w:tcPr>
            <w:tcW w:type="dxa" w:w="193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90.0</w:t>
            </w:r>
          </w:p>
        </w:tc>
        <w:tc>
          <w:tcPr>
            <w:tcW w:type="dxa" w:w="98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Alternativo</w:t>
            </w:r>
          </w:p>
        </w:tc>
        <w:tc>
          <w:tcPr>
            <w:tcW w:type="dxa" w:w="165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CP-08</w:t>
            </w:r>
          </w:p>
        </w:tc>
        <w:tc>
          <w:tcPr>
            <w:tcW w:type="dxa" w:w="12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calcularTotal</w:t>
            </w:r>
          </w:p>
        </w:tc>
        <w:tc>
          <w:tcPr>
            <w:tcW w:type="dxa" w:w="1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Total base cero</w:t>
            </w:r>
          </w:p>
        </w:tc>
        <w:tc>
          <w:tcPr>
            <w:tcW w:type="dxa" w:w="1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"VIP", 0.0</w:t>
            </w:r>
          </w:p>
        </w:tc>
        <w:tc>
          <w:tcPr>
            <w:tcW w:type="dxa" w:w="193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0.0</w:t>
            </w:r>
          </w:p>
        </w:tc>
        <w:tc>
          <w:tcPr>
            <w:tcW w:type="dxa" w:w="98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Límite</w:t>
            </w:r>
          </w:p>
        </w:tc>
        <w:tc>
          <w:tcPr>
            <w:tcW w:type="dxa" w:w="165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CP-08b</w:t>
            </w:r>
          </w:p>
        </w:tc>
        <w:tc>
          <w:tcPr>
            <w:tcW w:type="dxa" w:w="12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calcularTotal</w:t>
            </w:r>
          </w:p>
        </w:tc>
        <w:tc>
          <w:tcPr>
            <w:tcW w:type="dxa" w:w="1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Total base negativo</w:t>
            </w:r>
          </w:p>
        </w:tc>
        <w:tc>
          <w:tcPr>
            <w:tcW w:type="dxa" w:w="1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"NORMAL", -1.0</w:t>
            </w:r>
          </w:p>
        </w:tc>
        <w:tc>
          <w:tcPr>
            <w:tcW w:type="dxa" w:w="193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IllegalArgumentException</w:t>
            </w:r>
          </w:p>
        </w:tc>
        <w:tc>
          <w:tcPr>
            <w:tcW w:type="dxa" w:w="98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Inválido</w:t>
            </w:r>
          </w:p>
        </w:tc>
        <w:tc>
          <w:tcPr>
            <w:tcW w:type="dxa" w:w="165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CP-09</w:t>
            </w:r>
          </w:p>
        </w:tc>
        <w:tc>
          <w:tcPr>
            <w:tcW w:type="dxa" w:w="12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confirmar</w:t>
            </w:r>
          </w:p>
        </w:tc>
        <w:tc>
          <w:tcPr>
            <w:tcW w:type="dxa" w:w="1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Disponible</w:t>
            </w:r>
          </w:p>
        </w:tc>
        <w:tc>
          <w:tcPr>
            <w:tcW w:type="dxa" w:w="1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Reserva("R-001"), disponible = true</w:t>
            </w:r>
          </w:p>
        </w:tc>
        <w:tc>
          <w:tcPr>
            <w:tcW w:type="dxa" w:w="193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CONFIRMADA, guardada y notificada</w:t>
            </w:r>
          </w:p>
        </w:tc>
        <w:tc>
          <w:tcPr>
            <w:tcW w:type="dxa" w:w="98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Normal</w:t>
            </w:r>
          </w:p>
        </w:tc>
        <w:tc>
          <w:tcPr>
            <w:tcW w:type="dxa" w:w="165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Stub (Disponibilidad) + Mock (Repo/Notif.)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CP-10</w:t>
            </w:r>
          </w:p>
        </w:tc>
        <w:tc>
          <w:tcPr>
            <w:tcW w:type="dxa" w:w="12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confirmar</w:t>
            </w:r>
          </w:p>
        </w:tc>
        <w:tc>
          <w:tcPr>
            <w:tcW w:type="dxa" w:w="1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 disponible</w:t>
            </w:r>
          </w:p>
        </w:tc>
        <w:tc>
          <w:tcPr>
            <w:tcW w:type="dxa" w:w="1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Reserva("R-002"), disponible = false</w:t>
            </w:r>
          </w:p>
        </w:tc>
        <w:tc>
          <w:tcPr>
            <w:tcW w:type="dxa" w:w="193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IllegalStateException; no guarda ni notifica</w:t>
            </w:r>
          </w:p>
        </w:tc>
        <w:tc>
          <w:tcPr>
            <w:tcW w:type="dxa" w:w="98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Alternativo</w:t>
            </w:r>
          </w:p>
        </w:tc>
        <w:tc>
          <w:tcPr>
            <w:tcW w:type="dxa" w:w="165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Stub + Mock (never)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CP-11</w:t>
            </w:r>
          </w:p>
        </w:tc>
        <w:tc>
          <w:tcPr>
            <w:tcW w:type="dxa" w:w="125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confirmar</w:t>
            </w:r>
          </w:p>
        </w:tc>
        <w:tc>
          <w:tcPr>
            <w:tcW w:type="dxa" w:w="1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Reserva nula</w:t>
            </w:r>
          </w:p>
        </w:tc>
        <w:tc>
          <w:tcPr>
            <w:tcW w:type="dxa" w:w="1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  <w:tc>
          <w:tcPr>
            <w:tcW w:type="dxa" w:w="193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IllegalArgumentException; sin interacciones</w:t>
            </w:r>
          </w:p>
        </w:tc>
        <w:tc>
          <w:tcPr>
            <w:tcW w:type="dxa" w:w="98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Inválido</w:t>
            </w:r>
          </w:p>
        </w:tc>
        <w:tc>
          <w:tcPr>
            <w:tcW w:type="dxa" w:w="165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Mock (never)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Distribución por tipo: 3 normales (CP-01, CP-05, CP-09), 3 alternativos (CP-06, CP-07, CP-10), 4 de frontera (CP-02, CP-03, CP-04, CP-08) y 2 inválidos (CP-08b, CP-11).</w:t>
      </w:r>
    </w:p>
    <w:p>
      <w:pPr>
        <w:pStyle w:val="Heading1"/>
        <w:pBdr>
          <w:bottom w:val="single" w:color="1B8A8F" w:sz="6" w:space="2"/>
        </w:pBdr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3. Implementación JUnit 5 y patrón AAA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La suite está en src/test/java/edu/uees/testing/service/ReservaServiceTest.java. Cada prueba sigue el patrón Arrange-Act-Assert y lleva un @DisplayName con su ID de la matriz, lo que permite rastrear cada prueba hasta el caso que la origina.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Arrange: </w:t>
      </w:r>
      <w:r>
        <w:rPr>
          <w:rFonts w:ascii="Calibri" w:cs="Calibri" w:eastAsia="Calibri" w:hAnsi="Calibri"/>
          <w:sz w:val="22"/>
          <w:szCs w:val="22"/>
        </w:rPr>
        <w:t xml:space="preserve">configuración de los dobles (when(...).thenReturn(...)) y creación de los datos de entrada.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Act: </w:t>
      </w:r>
      <w:r>
        <w:rPr>
          <w:rFonts w:ascii="Calibri" w:cs="Calibri" w:eastAsia="Calibri" w:hAnsi="Calibri"/>
          <w:sz w:val="22"/>
          <w:szCs w:val="22"/>
        </w:rPr>
        <w:t xml:space="preserve">una sola llamada al método bajo prueba de ReservaService.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Assert: </w:t>
      </w:r>
      <w:r>
        <w:rPr>
          <w:rFonts w:ascii="Calibri" w:cs="Calibri" w:eastAsia="Calibri" w:hAnsi="Calibri"/>
          <w:sz w:val="22"/>
          <w:szCs w:val="22"/>
        </w:rPr>
        <w:t xml:space="preserve">assertTrue/assertFalse/assertEquals/assertThrows para el resultado y verify(...) para las interacciones.</w:t>
      </w:r>
    </w:p>
    <w:p>
      <w:pPr>
        <w:spacing w:after="120" w:before="80"/>
      </w:pPr>
      <w:r>
        <w:rPr>
          <w:rFonts w:ascii="Calibri" w:cs="Calibri" w:eastAsia="Calibri" w:hAnsi="Calibri"/>
          <w:sz w:val="22"/>
          <w:szCs w:val="22"/>
        </w:rPr>
        <w:t xml:space="preserve">El método @BeforeEach recrea el servicio y sus tres dobles antes de cada prueba, de modo que ninguna prueba depende del estado de otra. El constructor recibe los colaboradores en el orden (repository, notificador, disponibilidad); ese orden fue el error de instanciación corregido en el commit 4c322de.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B8A8F"/>
          <w:sz w:val="24"/>
          <w:szCs w:val="24"/>
        </w:rPr>
        <w:t xml:space="preserve">Fragmento representativo (comentarios AAA añadidos solo para ilustrar)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@BeforeEach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void setUp() {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repository = mock(ReservaRepository.class);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notificador = mock(Notificador.class);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disponibilidad = mock(DisponibilidadClient.class);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servicio = new ReservaService(repository, notificador, disponibilidad);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@Test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@DisplayName("CP-09: Reserva disponible se confirma, guarda y notifica")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void reservaDisponibleSeConfirmaGuardaYNotifica() {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when(disponibilidad.estaDisponible(any())).thenReturn(true);   // Arrange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Reserva reserva = new Reserva("R-001", "NORMAL");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servicio.confirmar(reserva);                                   // Act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assertEquals(EstadoReserva.CONFIRMADA, reserva.getEstado());   // Assert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verify(repository).guardar(reserva);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verify(notificador).enviarConfirmacion(reserva);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@Test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@DisplayName("CP-10: Reserva no disponible lanza excepción y no se guarda ni notifica")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void reservaNoDisponibleNoSeGuardaNiNotifica() {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when(disponibilidad.estaDisponible(any())).thenReturn(false);  // Arrange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Reserva reserva = new Reserva("R-002", "NORMAL");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assertThrows(IllegalStateException.class,                      // Act + Assert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    () -&gt; servicio.confirmar(reserva));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verify(repository, never()).guardar(any());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verify(notificador, never()).enviarConfirmacion(any());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 w:before="100"/>
      </w:pPr>
      <w:r>
        <w:rPr>
          <w:rFonts w:ascii="Calibri" w:cs="Calibri" w:eastAsia="Calibri" w:hAnsi="Calibri"/>
          <w:sz w:val="22"/>
          <w:szCs w:val="22"/>
        </w:rPr>
        <w:t xml:space="preserve">El código completo de las 12 pruebas está en el repositorio (sección 12).</w:t>
      </w:r>
    </w:p>
    <w:p>
      <w:pPr>
        <w:pStyle w:val="Heading1"/>
        <w:pBdr>
          <w:bottom w:val="single" w:color="1B8A8F" w:sz="6" w:space="2"/>
        </w:pBdr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4. Dobles de prueba utilizados y justificación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5938"/>
      </w:tblGrid>
      <w:tr>
        <w:trPr>
          <w:tblHeader/>
        </w:trPr>
        <w:tc>
          <w:tcPr>
            <w:tcW w:type="dxa" w:w="22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Colaborador</w:t>
            </w:r>
          </w:p>
        </w:tc>
        <w:tc>
          <w:tcPr>
            <w:tcW w:type="dxa" w:w="1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59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DisponibilidadClient</w:t>
            </w:r>
          </w:p>
        </w:tc>
        <w:tc>
          <w:tcPr>
            <w:tcW w:type="dxa" w:w="1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Stub</w:t>
            </w:r>
          </w:p>
        </w:tc>
        <w:tc>
          <w:tcPr>
            <w:tcW w:type="dxa" w:w="59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 fija su respuesta con when(disponibilidad.estaDisponible(any())).thenReturn(true/false). Así se fuerzan los caminos “hay disponibilidad” y “no hay disponibilidad” sin depender de una red ni de un servidor real. Solo controla la entrada; no se verifica cuántas veces se llamó, salvo en CP-11 donde se comprueba que no se consultó.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ReservaRepository</w:t>
            </w:r>
          </w:p>
        </w:tc>
        <w:tc>
          <w:tcPr>
            <w:tcW w:type="dxa" w:w="1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Mock</w:t>
            </w:r>
          </w:p>
        </w:tc>
        <w:tc>
          <w:tcPr>
            <w:tcW w:type="dxa" w:w="59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 verifica el comportamiento: verify(repository).guardar(reserva) en el flujo válido y verify(repository, never()).guardar(any()) cuando no hay disponibilidad o la reserva es nula. Evita usar una base de datos real.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Notificador</w:t>
            </w:r>
          </w:p>
        </w:tc>
        <w:tc>
          <w:tcPr>
            <w:tcW w:type="dxa" w:w="15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Mock</w:t>
            </w:r>
          </w:p>
        </w:tc>
        <w:tc>
          <w:tcPr>
            <w:tcW w:type="dxa" w:w="59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 verifica que enviarConfirmacion(reserva) ocurra solo cuando la confirmación es exitosa, sin enviar correos reales.</w:t>
            </w:r>
          </w:p>
        </w:tc>
      </w:tr>
    </w:tbl>
    <w:p>
      <w:pPr>
        <w:spacing w:after="120" w:before="1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Nota: en Mockito los tres objetos se crean con mock(...). La diferencia entre Stub y Mock está en el uso: el Stub entrega respuestas preprogramadas (when/thenReturn) y el Mock sirve para verificar interacciones (verify).</w:t>
      </w:r>
    </w:p>
    <w:p>
      <w:pPr>
        <w:pStyle w:val="Heading1"/>
        <w:pBdr>
          <w:bottom w:val="single" w:color="1B8A8F" w:sz="6" w:space="2"/>
        </w:pBdr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5. Resultado de ejecución (mvn clean test)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La suite completa se ejecutó desde la terminal integrada de VS Code con Maven. Al terminar las pruebas se genera el reporte de JaCoCo (jacoco:0.8.12:report).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4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Comando</w:t>
            </w:r>
          </w:p>
        </w:tc>
        <w:tc>
          <w:tcPr>
            <w:tcW w:type="dxa" w:w="64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mvn clean test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Clase de prueba</w:t>
            </w:r>
          </w:p>
        </w:tc>
        <w:tc>
          <w:tcPr>
            <w:tcW w:type="dxa" w:w="64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edu.uees.testing.service.ReservaServiceTest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Pruebas ejecutadas</w:t>
            </w:r>
          </w:p>
        </w:tc>
        <w:tc>
          <w:tcPr>
            <w:tcW w:type="dxa" w:w="64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Failures / Errors / Skipped</w:t>
            </w:r>
          </w:p>
        </w:tc>
        <w:tc>
          <w:tcPr>
            <w:tcW w:type="dxa" w:w="64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/ 0 / 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Estado del build</w:t>
            </w:r>
          </w:p>
        </w:tc>
        <w:tc>
          <w:tcPr>
            <w:tcW w:type="dxa" w:w="64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BUILD SUCCESS  (28/09/2026)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5715000" cy="2962275"/>
            <wp:effectExtent t="0" r="0" b="0" l="0"/>
            <wp:docPr id="1" name="Figura 1. Ejecución de mvn clean test: 12 pruebas, 0 fallos, BUILD SUCCESS y generación del reporte JaCoCo." descr="Figura 1. Ejecución de mvn clean test: 12 pruebas, 0 fallos, BUILD SUCCESS y generación del reporte JaCoCo." title="Figura 1. Ejecución de mvn clean test: 12 pruebas, 0 fallos, BUILD SUCCESS y generación del reporte JaCoC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Figura 1. Ejecución de mvn clean test: 12 pruebas, 0 fallos, BUILD SUCCESS y generación del reporte JaCoCo.</w:t>
      </w:r>
    </w:p>
    <w:p>
      <w:pPr>
        <w:pStyle w:val="Heading1"/>
        <w:pBdr>
          <w:bottom w:val="single" w:color="1B8A8F" w:sz="6" w:space="2"/>
        </w:pBdr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6. Cobertura JaCoCo e interpretación técnica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 reporte HTML se genera en target/site/jacoco/index.html. Para la clase edu.uees.testing.service.ReservaService se obtuvo: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638"/>
      </w:tblGrid>
      <w:tr>
        <w:trPr>
          <w:tblHeader/>
        </w:trPr>
        <w:tc>
          <w:tcPr>
            <w:tcW w:type="dxa" w:w="3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Cobertura</w:t>
            </w:r>
          </w:p>
        </w:tc>
        <w:tc>
          <w:tcPr>
            <w:tcW w:type="dxa" w:w="4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Instrucciones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100 %</w:t>
            </w:r>
          </w:p>
        </w:tc>
        <w:tc>
          <w:tcPr>
            <w:tcW w:type="dxa" w:w="4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instrucciones sin cubrir de 74.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Ramas (branches)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100 %</w:t>
            </w:r>
          </w:p>
        </w:tc>
        <w:tc>
          <w:tcPr>
            <w:tcW w:type="dxa" w:w="4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ramas sin cubrir de 12.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Líneas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21 / 21</w:t>
            </w:r>
          </w:p>
        </w:tc>
        <w:tc>
          <w:tcPr>
            <w:tcW w:type="dxa" w:w="4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Sin líneas omitidas (complejidad ciclomática total: 10).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Métodos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 / 4</w:t>
            </w:r>
          </w:p>
        </w:tc>
        <w:tc>
          <w:tcPr>
            <w:tcW w:type="dxa" w:w="4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puedeCancelar, calcularTotal, confirmar y el constructor de ReservaService.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714500"/>
            <wp:effectExtent t="0" r="0" b="0" l="0"/>
            <wp:docPr id="1" name="Figura 2. Reporte JaCoCo de ReservaService (index.html): 100 % de instrucciones y de ramas." descr="Figura 2. Reporte JaCoCo de ReservaService (index.html): 100 % de instrucciones y de ramas." title="Figura 2. Reporte JaCoCo de ReservaService (index.html): 100 % de instrucciones y de ram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Figura 2. Reporte JaCoCo de ReservaService (index.html): 100 % de instrucciones y de ramas.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B8A8F"/>
          <w:sz w:val="24"/>
          <w:szCs w:val="24"/>
        </w:rPr>
        <w:t xml:space="preserve">Cobertura por método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338"/>
      </w:tblGrid>
      <w:tr>
        <w:trPr>
          <w:tblHeader/>
        </w:trPr>
        <w:tc>
          <w:tcPr>
            <w:tcW w:type="dxa" w:w="2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Casos</w:t>
            </w:r>
          </w:p>
        </w:tc>
        <w:tc>
          <w:tcPr>
            <w:tcW w:type="dxa" w:w="53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Ramas cubiertas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puedeCancelar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CP-01 a CP-04</w:t>
            </w:r>
          </w:p>
        </w:tc>
        <w:tc>
          <w:tcPr>
            <w:tcW w:type="dxa" w:w="53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Condición horas &gt;= 2: por encima (5), límite exacto (2), debajo (1) y cero (0).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calcularTotal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CP-05 a CP-08b</w:t>
            </w:r>
          </w:p>
        </w:tc>
        <w:tc>
          <w:tcPr>
            <w:tcW w:type="dxa" w:w="53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Los tres tipos de cliente (NORMAL, VIP, ESTUDIANTE), el total cero y la guarda de total negativo.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confirmar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CP-09 a CP-11</w:t>
            </w:r>
          </w:p>
        </w:tc>
        <w:tc>
          <w:tcPr>
            <w:tcW w:type="dxa" w:w="53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Reserva nula, disponibilidad verdadera y disponibilidad falsa.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Constructor</w:t>
            </w:r>
          </w:p>
        </w:tc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@BeforeEach</w:t>
            </w:r>
          </w:p>
        </w:tc>
        <w:tc>
          <w:tcPr>
            <w:tcW w:type="dxa" w:w="53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 ejecuta en setUp() antes de cada una de las 12 pruebas (sin ramas).</w:t>
            </w:r>
          </w:p>
        </w:tc>
      </w:tr>
    </w:tbl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B8A8F"/>
          <w:sz w:val="24"/>
          <w:szCs w:val="24"/>
        </w:rPr>
        <w:t xml:space="preserve">¿Por qué 100 % de cobertura no garantiza la ausencia de errores?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JaCoCo solo demuestra qué instrucciones y ramas se ejecutaron al menos una vez; no mide si las pruebas comprueban lo correcto. Por eso este resultado tiene límites claros: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Código cubierto pero mal probado: </w:t>
      </w:r>
      <w:r>
        <w:rPr>
          <w:rFonts w:ascii="Calibri" w:cs="Calibri" w:eastAsia="Calibri" w:hAnsi="Calibri"/>
          <w:sz w:val="22"/>
          <w:szCs w:val="22"/>
        </w:rPr>
        <w:t xml:space="preserve">si se borrara el assertEquals de CP-06, la línea seguiría en verde y la cobertura no cambiaría. El valor de la prueba está en sus aserciones (assertEquals, assertThrows, verify), no en el porcentaje.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Reglas omitidas: </w:t>
      </w:r>
      <w:r>
        <w:rPr>
          <w:rFonts w:ascii="Calibri" w:cs="Calibri" w:eastAsia="Calibri" w:hAnsi="Calibri"/>
          <w:sz w:val="22"/>
          <w:szCs w:val="22"/>
        </w:rPr>
        <w:t xml:space="preserve">si el negocio exigiera validar que el tipo de cliente no sea nulo o que el ID de la reserva no esté vacío y el código no lo implementa, JaCoCo seguiría marcando 100 %.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Comportamientos no probados: </w:t>
      </w:r>
      <w:r>
        <w:rPr>
          <w:rFonts w:ascii="Calibri" w:cs="Calibri" w:eastAsia="Calibri" w:hAnsi="Calibri"/>
          <w:sz w:val="22"/>
          <w:szCs w:val="22"/>
        </w:rPr>
        <w:t xml:space="preserve">la matriz no incluye qué ocurre si Notificador falla después de guardar la reserva; ese camino no está especificado ni probado.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Entorno real: </w:t>
      </w:r>
      <w:r>
        <w:rPr>
          <w:rFonts w:ascii="Calibri" w:cs="Calibri" w:eastAsia="Calibri" w:hAnsi="Calibri"/>
          <w:sz w:val="22"/>
          <w:szCs w:val="22"/>
        </w:rPr>
        <w:t xml:space="preserve">con dobles no se detectan problemas de concurrencia, latencia de red ni bloqueos de base de datos.</w:t>
      </w:r>
    </w:p>
    <w:p>
      <w:pPr>
        <w:pStyle w:val="Heading1"/>
        <w:pBdr>
          <w:bottom w:val="single" w:color="1B8A8F" w:sz="6" w:space="2"/>
        </w:pBdr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7. Trazabilidad con Git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 trabajo se realizó en una rama específica creada desde la línea base del proyecto y subida al repositorio remoto: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git switch -c ae6/suite-pruebas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git add .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git commit -m "test: corregir constructor ReservaService e integrar suite JUnit 5 con mocks"</w:t>
      </w:r>
    </w:p>
    <w:p>
      <w:pPr>
        <w:keepLines/>
        <w:pBdr>
          <w:left w:val="single" w:color="1B8A8F" w:sz="18" w:space="6"/>
        </w:pBdr>
        <w:shd w:fill="F1F3F5" w:color="auto" w:val="clear"/>
        <w:spacing w:after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git push -u origin ae6/suite-pruebas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738"/>
        <w:gridCol w:w="2600"/>
      </w:tblGrid>
      <w:tr>
        <w:trPr>
          <w:tblHeader/>
        </w:trPr>
        <w:tc>
          <w:tcPr>
            <w:tcW w:type="dxa" w:w="1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57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Mensaje</w:t>
            </w:r>
          </w:p>
        </w:tc>
        <w:tc>
          <w:tcPr>
            <w:tcW w:type="dxa" w:w="2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Rama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4c322de</w:t>
            </w:r>
          </w:p>
        </w:tc>
        <w:tc>
          <w:tcPr>
            <w:tcW w:type="dxa" w:w="57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test: corregir constructor ReservaService e integrar suite JUnit 5 con mocks</w:t>
            </w:r>
          </w:p>
        </w:tc>
        <w:tc>
          <w:tcPr>
            <w:tcW w:type="dxa" w:w="2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ae6/suite-pruebas (HEAD)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ec124ab</w:t>
            </w:r>
          </w:p>
        </w:tc>
        <w:tc>
          <w:tcPr>
            <w:tcW w:type="dxa" w:w="57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docs: actualizar README con estructura de ramas, pruebas y reporte jacoco</w:t>
            </w:r>
          </w:p>
        </w:tc>
        <w:tc>
          <w:tcPr>
            <w:tcW w:type="dxa" w:w="2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main, test/lab2-dobles-cobertura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524e215</w:t>
            </w:r>
          </w:p>
        </w:tc>
        <w:tc>
          <w:tcPr>
            <w:tcW w:type="dxa" w:w="57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test: cubrir flujo sin disponibilidad</w:t>
            </w:r>
          </w:p>
        </w:tc>
        <w:tc>
          <w:tcPr>
            <w:tcW w:type="dxa" w:w="2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test/lab2-dobles-cobertura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8b4b7b1</w:t>
            </w:r>
          </w:p>
        </w:tc>
        <w:tc>
          <w:tcPr>
            <w:tcW w:type="dxa" w:w="57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docs: analizar cobertura jacoco y responder reflexiones</w:t>
            </w:r>
          </w:p>
        </w:tc>
        <w:tc>
          <w:tcPr>
            <w:tcW w:type="dxa" w:w="2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test/lab2-dobles-cobertura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b76ffe2</w:t>
            </w:r>
          </w:p>
        </w:tc>
        <w:tc>
          <w:tcPr>
            <w:tcW w:type="dxa" w:w="57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test: agregar escenarios con stub y mock</w:t>
            </w:r>
          </w:p>
        </w:tc>
        <w:tc>
          <w:tcPr>
            <w:tcW w:type="dxa" w:w="2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test/lab2-dobles-cobertura</w:t>
            </w:r>
          </w:p>
        </w:tc>
      </w:tr>
    </w:tbl>
    <w:p>
      <w:pPr>
        <w:spacing w:after="60" w:before="1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La Figura 3 muestra el historial antes de sincronizar con main: 4c322de era el único commit propio de la rama; los demás vienen del Laboratorio 2 y de main. Después se agregaron los commits de sincronización para resolver el conflicto de README.md, por lo que el Pull Request final incluye 3 commits (Figura 4).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Repositorio: </w:t>
      </w:r>
      <w:hyperlink w:history="1" r:id="rIdurfuejoie7oqj5ebhffnx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https://github.com/joffrebarrev/semana7-pruebas-unitarias-ae6</w:t>
        </w:r>
      </w:hyperlink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Rama ae6/suite-pruebas: </w:t>
      </w:r>
      <w:hyperlink w:history="1" r:id="rIdjksqi-i7bjertbn5ejtn0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https://github.com/joffrebarrev/semana7-pruebas-unitarias-ae6/tree/ae6/suite-pruebas</w:t>
        </w:r>
      </w:hyperlink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866775"/>
            <wp:effectExtent t="0" r="0" b="0" l="0"/>
            <wp:docPr id="1" name="Figura 3. Salida de git log --oneline --decorate -5 en la rama ae6/suite-pruebas." descr="Figura 3. Salida de git log --oneline --decorate -5 en la rama ae6/suite-pruebas." title="Figura 3. Salida de git log --oneline --decorate -5 en la rama ae6/suite-prueb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Figura 3. Salida de git log --oneline --decorate -5 en la rama ae6/suite-pruebas.</w:t>
      </w:r>
    </w:p>
    <w:p>
      <w:pPr>
        <w:pStyle w:val="Heading1"/>
        <w:pBdr>
          <w:bottom w:val="single" w:color="1B8A8F" w:sz="6" w:space="2"/>
        </w:pBdr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8. Pull Request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 Pull Request va de ae6/suite-pruebas hacia main y está documentado en docs/03_PULL_REQUEST_PLANTILLA.md.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Apartado</w:t>
            </w:r>
          </w:p>
        </w:tc>
        <w:tc>
          <w:tcPr>
            <w:tcW w:type="dxa" w:w="7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Título</w:t>
            </w:r>
          </w:p>
        </w:tc>
        <w:tc>
          <w:tcPr>
            <w:tcW w:type="dxa" w:w="7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test: suite JUnit 5 con Mockito y cobertura JaCoCo para ReservaService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Objetivo</w:t>
            </w:r>
          </w:p>
        </w:tc>
        <w:tc>
          <w:tcPr>
            <w:tcW w:type="dxa" w:w="7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Proteger las reglas de negocio del servicio de reservas (cancelación, descuentos y confirmación) con pruebas automatizadas.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Cambios</w:t>
            </w:r>
          </w:p>
        </w:tc>
        <w:tc>
          <w:tcPr>
            <w:tcW w:type="dxa" w:w="7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 pruebas JUnit 5 con patrón AAA; Stub de DisponibilidadClient; Mocks de ReservaRepository y Notificador; matriz de casos; análisis de cobertura JaCoCo; corrección del orden de argumentos del constructor.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Verificación</w:t>
            </w:r>
          </w:p>
        </w:tc>
        <w:tc>
          <w:tcPr>
            <w:tcW w:type="dxa" w:w="7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mvn clean test: 12 pruebas, 0 fallos, 0 errores, BUILD SUCCESS. Cobertura de ReservaService: 100 % de instrucciones y de ramas.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7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Open, Ready to merge (sin conflictos con main). 3 commits y 10 archivos modificados. Sin revisores asignados (autorrevisión).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Riesgos / límites</w:t>
            </w:r>
          </w:p>
        </w:tc>
        <w:tc>
          <w:tcPr>
            <w:tcW w:type="dxa" w:w="76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se prueba integración real con base de datos ni con el servicio externo de disponibilidad.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009900"/>
            <wp:effectExtent t="0" r="0" b="0" l="0"/>
            <wp:docPr id="1" name="Figura 4. Pull Request #1 (ae6/suite-pruebas hacia main): Open, Ready to merge, sin conflictos, 3 commits." descr="Figura 4. Pull Request #1 (ae6/suite-pruebas hacia main): Open, Ready to merge, sin conflictos, 3 commits." title="Figura 4. Pull Request #1 (ae6/suite-pruebas hacia main): Open, Ready to merge, sin conflictos, 3 commi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Figura 4. Pull Request #1 (ae6/suite-pruebas hacia main): Open, Ready to merge, sin conflictos, 3 commits.</w:t>
      </w:r>
    </w:p>
    <w:p>
      <w:pPr>
        <w:pStyle w:val="Heading1"/>
        <w:pBdr>
          <w:bottom w:val="single" w:color="1B8A8F" w:sz="6" w:space="2"/>
        </w:pBdr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9. Autorrevisión técnica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Antes de solicitar la revisión del Pull Request se verificó el trabajo con la siguiente lista: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B8A8F"/>
          <w:sz w:val="22"/>
          <w:szCs w:val="22"/>
        </w:rPr>
        <w:t xml:space="preserve">☑  </w:t>
      </w:r>
      <w:r>
        <w:rPr>
          <w:rFonts w:ascii="Calibri" w:cs="Calibri" w:eastAsia="Calibri" w:hAnsi="Calibri"/>
          <w:sz w:val="22"/>
          <w:szCs w:val="22"/>
        </w:rPr>
        <w:t xml:space="preserve">Repositorio limpio: sin carpeta target/ ni archivos generados en el commit.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B8A8F"/>
          <w:sz w:val="22"/>
          <w:szCs w:val="22"/>
        </w:rPr>
        <w:t xml:space="preserve">☑  </w:t>
      </w:r>
      <w:r>
        <w:rPr>
          <w:rFonts w:ascii="Calibri" w:cs="Calibri" w:eastAsia="Calibri" w:hAnsi="Calibri"/>
          <w:sz w:val="22"/>
          <w:szCs w:val="22"/>
        </w:rPr>
        <w:t xml:space="preserve">Los nombres de las pruebas describen el caso y llevan su ID de la matriz (CP-xx).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B8A8F"/>
          <w:sz w:val="22"/>
          <w:szCs w:val="22"/>
        </w:rPr>
        <w:t xml:space="preserve">☑  </w:t>
      </w:r>
      <w:r>
        <w:rPr>
          <w:rFonts w:ascii="Calibri" w:cs="Calibri" w:eastAsia="Calibri" w:hAnsi="Calibri"/>
          <w:sz w:val="22"/>
          <w:szCs w:val="22"/>
        </w:rPr>
        <w:t xml:space="preserve">Cada prueba sigue el patrón Arrange-Act-Assert.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B8A8F"/>
          <w:sz w:val="22"/>
          <w:szCs w:val="22"/>
        </w:rPr>
        <w:t xml:space="preserve">☑  </w:t>
      </w:r>
      <w:r>
        <w:rPr>
          <w:rFonts w:ascii="Calibri" w:cs="Calibri" w:eastAsia="Calibri" w:hAnsi="Calibri"/>
          <w:sz w:val="22"/>
          <w:szCs w:val="22"/>
        </w:rPr>
        <w:t xml:space="preserve">Los Stubs y Mocks tienen justificación técnica (sección 4).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B8A8F"/>
          <w:sz w:val="22"/>
          <w:szCs w:val="22"/>
        </w:rPr>
        <w:t xml:space="preserve">☑  </w:t>
      </w:r>
      <w:r>
        <w:rPr>
          <w:rFonts w:ascii="Calibri" w:cs="Calibri" w:eastAsia="Calibri" w:hAnsi="Calibri"/>
          <w:sz w:val="22"/>
          <w:szCs w:val="22"/>
        </w:rPr>
        <w:t xml:space="preserve">mvn clean test se ejecuta en verde de forma local.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B8A8F"/>
          <w:sz w:val="22"/>
          <w:szCs w:val="22"/>
        </w:rPr>
        <w:t xml:space="preserve">☑  </w:t>
      </w:r>
      <w:r>
        <w:rPr>
          <w:rFonts w:ascii="Calibri" w:cs="Calibri" w:eastAsia="Calibri" w:hAnsi="Calibri"/>
          <w:sz w:val="22"/>
          <w:szCs w:val="22"/>
        </w:rPr>
        <w:t xml:space="preserve">El README describe las ramas, las 12 pruebas y cómo ejecutarlas.</w:t>
      </w:r>
    </w:p>
    <w:p>
      <w:pPr>
        <w:pStyle w:val="Heading1"/>
        <w:pBdr>
          <w:bottom w:val="single" w:color="1B8A8F" w:sz="6" w:space="2"/>
        </w:pBdr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10. Conclusiones, limitaciones y trabajo futuro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Conclusiones: </w:t>
      </w:r>
      <w:r>
        <w:rPr>
          <w:rFonts w:ascii="Calibri" w:cs="Calibri" w:eastAsia="Calibri" w:hAnsi="Calibri"/>
          <w:sz w:val="22"/>
          <w:szCs w:val="22"/>
        </w:rPr>
        <w:t xml:space="preserve">la suite protege las tres reglas de negocio ante futuras refactorizaciones y se ejecuta en pocos segundos. Los dobles de prueba permitieron probar confirmar() de forma aislada, sin red, base de datos ni correo real. Las pruebas de frontera (2 horas y total 0.0) son las que más valor aportan porque los errores suelen aparecer justo en el límite.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Limitaciones: </w:t>
      </w:r>
      <w:r>
        <w:rPr>
          <w:rFonts w:ascii="Calibri" w:cs="Calibri" w:eastAsia="Calibri" w:hAnsi="Calibri"/>
          <w:sz w:val="22"/>
          <w:szCs w:val="22"/>
        </w:rPr>
        <w:t xml:space="preserve">son pruebas unitarias; no validan la integración con persistencia ni con el servicio real de disponibilidad. El comportamiento cuando el Notificador falla no está especificado ni probado.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Trabajo futuro: </w:t>
      </w:r>
      <w:r>
        <w:rPr>
          <w:rFonts w:ascii="Calibri" w:cs="Calibri" w:eastAsia="Calibri" w:hAnsi="Calibri"/>
          <w:sz w:val="22"/>
          <w:szCs w:val="22"/>
        </w:rPr>
        <w:t xml:space="preserve">agregar una prueba para el fallo del Notificador, medir la calidad de las aserciones con pruebas de mutación (PIT) y añadir pruebas de integración con una base de datos de prueba.</w:t>
      </w:r>
    </w:p>
    <w:p>
      <w:pPr>
        <w:pStyle w:val="Heading1"/>
        <w:pBdr>
          <w:bottom w:val="single" w:color="1B8A8F" w:sz="6" w:space="2"/>
        </w:pBdr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11. Declaración de uso de inteligencia artificial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Se utilizó un asistente de inteligencia artificial como apoyo para estructurar los Mocks con Mockito, diagnosticar y corregir el orden de los argumentos del constructor de ReservaService y redactar este reporte técnico. El código fue ejecutado y verificado por el estudiante en su entorno local (mvn clean test), y el estudiante revisó y asume la responsabilidad del contenido entregado.</w:t>
      </w:r>
    </w:p>
    <w:p>
      <w:pPr>
        <w:pStyle w:val="Heading1"/>
        <w:pBdr>
          <w:bottom w:val="single" w:color="1B8A8F" w:sz="6" w:space="2"/>
        </w:pBdr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12. Evidencia final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La siguiente tabla resume la cadena completa de trabajo y dónde está la evidencia de cada etapa.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300"/>
        <w:gridCol w:w="5738"/>
      </w:tblGrid>
      <w:tr>
        <w:trPr>
          <w:tblHeader/>
        </w:trPr>
        <w:tc>
          <w:tcPr>
            <w:tcW w:type="dxa" w:w="2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1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Sección</w:t>
            </w:r>
          </w:p>
        </w:tc>
        <w:tc>
          <w:tcPr>
            <w:tcW w:type="dxa" w:w="57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Regla de negocio</w:t>
            </w:r>
          </w:p>
        </w:tc>
        <w:tc>
          <w:tcPr>
            <w:tcW w:type="dxa" w:w="1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2.1</w:t>
            </w:r>
          </w:p>
        </w:tc>
        <w:tc>
          <w:tcPr>
            <w:tcW w:type="dxa" w:w="57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Tres reglas protegidas: cancelación, descuentos y confirmación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Matriz de casos</w:t>
            </w:r>
          </w:p>
        </w:tc>
        <w:tc>
          <w:tcPr>
            <w:tcW w:type="dxa" w:w="1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2.2</w:t>
            </w:r>
          </w:p>
        </w:tc>
        <w:tc>
          <w:tcPr>
            <w:tcW w:type="dxa" w:w="57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 casos (CP-01 a CP-11 y CP-08b); docs/01_MATRIZ_CASOS_PLANTILLA.md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JUnit 5</w:t>
            </w:r>
          </w:p>
        </w:tc>
        <w:tc>
          <w:tcPr>
            <w:tcW w:type="dxa" w:w="1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7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ReservaServiceTest.java con patrón AAA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Stub / Mock</w:t>
            </w:r>
          </w:p>
        </w:tc>
        <w:tc>
          <w:tcPr>
            <w:tcW w:type="dxa" w:w="1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7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DisponibilidadClient (Stub); ReservaRepository y Notificador (Mocks)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Ejecución</w:t>
            </w:r>
          </w:p>
        </w:tc>
        <w:tc>
          <w:tcPr>
            <w:tcW w:type="dxa" w:w="1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7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Figura 1: mvn clean test, 12 pruebas, BUILD SUCCESS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JaCoCo</w:t>
            </w:r>
          </w:p>
        </w:tc>
        <w:tc>
          <w:tcPr>
            <w:tcW w:type="dxa" w:w="1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57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Figura 2: 100 % de instrucciones y ramas; docs/02_ANALISIS_COBERTURA_PLANTILLA.md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Git</w:t>
            </w:r>
          </w:p>
        </w:tc>
        <w:tc>
          <w:tcPr>
            <w:tcW w:type="dxa" w:w="1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57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Figura 3: rama ae6/suite-pruebas y commits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Pull Request</w:t>
            </w:r>
          </w:p>
        </w:tc>
        <w:tc>
          <w:tcPr>
            <w:tcW w:type="dxa" w:w="1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57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Figura 4: PR hacia main; docs/03_PULL_REQUEST_PLANTILLA.md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Autorrevisión</w:t>
            </w:r>
          </w:p>
        </w:tc>
        <w:tc>
          <w:tcPr>
            <w:tcW w:type="dxa" w:w="13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57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Checklist de seis puntos verificados</w:t>
            </w:r>
          </w:p>
        </w:tc>
      </w:tr>
    </w:tbl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B8A8F"/>
          <w:sz w:val="24"/>
          <w:szCs w:val="24"/>
        </w:rPr>
        <w:t xml:space="preserve">Entregables y enlaces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68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Ubicación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Repositorio GitHub</w:t>
            </w:r>
          </w:p>
        </w:tc>
        <w:tc>
          <w:tcPr>
            <w:tcW w:type="dxa" w:w="68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https://github.com/joffrebarrev/semana7-pruebas-unitarias-ae6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Rama de trabajo</w:t>
            </w:r>
          </w:p>
        </w:tc>
        <w:tc>
          <w:tcPr>
            <w:tcW w:type="dxa" w:w="68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ae6/suite-pruebas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Matriz de casos</w:t>
            </w:r>
          </w:p>
        </w:tc>
        <w:tc>
          <w:tcPr>
            <w:tcW w:type="dxa" w:w="68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docs/01_MATRIZ_CASOS_PLANTILLA.md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Análisis de cobertura</w:t>
            </w:r>
          </w:p>
        </w:tc>
        <w:tc>
          <w:tcPr>
            <w:tcW w:type="dxa" w:w="68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docs/02_ANALISIS_COBERTURA_PLANTILLA.md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Pull Request (plantilla)</w:t>
            </w:r>
          </w:p>
        </w:tc>
        <w:tc>
          <w:tcPr>
            <w:tcW w:type="dxa" w:w="68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docs/03_PULL_REQUEST_PLANTILLA.md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Suite de pruebas</w:t>
            </w:r>
          </w:p>
        </w:tc>
        <w:tc>
          <w:tcPr>
            <w:tcW w:type="dxa" w:w="68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src/test/java/edu/uees/testing/service/ReservaServiceTest.java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Reporte JaCoCo (local)</w:t>
            </w:r>
          </w:p>
        </w:tc>
        <w:tc>
          <w:tcPr>
            <w:tcW w:type="dxa" w:w="68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target/site/jacoco/index.html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URL del Pull Request</w:t>
            </w:r>
          </w:p>
        </w:tc>
        <w:tc>
          <w:tcPr>
            <w:tcW w:type="dxa" w:w="683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https://github.com/joffrebarrev/semana7-pruebas-unitarias-ae6/pull/1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7"/>
        <w:szCs w:val="17"/>
      </w:rPr>
      <w:t xml:space="preserve">UCOM0310 · Ae6 · Joffre Barre Veliz   |   Página </w:t>
    </w:r>
    <w:r>
      <w:rPr>
        <w:rFonts w:ascii="Calibri" w:cs="Calibri" w:eastAsia="Calibri" w:hAnsi="Calibri"/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rfuejoie7oqj5ebhffnx" Type="http://schemas.openxmlformats.org/officeDocument/2006/relationships/hyperlink" Target="https://github.com/joffrebarrev/semana7-pruebas-unitarias-ae6" TargetMode="External"/><Relationship Id="rIdjksqi-i7bjertbn5ejtn0" Type="http://schemas.openxmlformats.org/officeDocument/2006/relationships/hyperlink" Target="https://github.com/joffrebarrev/semana7-pruebas-unitarias-ae6/tree/ae6/suite-pruebas" TargetMode="External"/><Relationship Id="rId8" Type="http://schemas.openxmlformats.org/officeDocument/2006/relationships/image" Target="media/d5ea00c0381b449b7e19628543de014790b75dfe.png"/><Relationship Id="rId9" Type="http://schemas.openxmlformats.org/officeDocument/2006/relationships/image" Target="media/a50ac3b52e42d70c24ad0a77ab54a0b0b4d53447.png"/><Relationship Id="rId10" Type="http://schemas.openxmlformats.org/officeDocument/2006/relationships/image" Target="media/568befb9e769a159bf0265af7ed12e90fa228200.png"/><Relationship Id="rId11" Type="http://schemas.openxmlformats.org/officeDocument/2006/relationships/image" Target="media/bc5cc7674471907c32c5b8c7c0d7c4d3bf5678f1.png"/><Relationship Id="rId12" Type="http://schemas.openxmlformats.org/officeDocument/2006/relationships/image" Target="media/d63824f48702b9fc148440f60f6f2f3dc0d7212f.png"/><Relationship Id="rId13" Type="http://schemas.openxmlformats.org/officeDocument/2006/relationships/image" Target="media/45c7e285f5fbc46934cd62c49395c5770dba610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UCOM0310 Ae6 – Reporte técnico breve</dc:title>
  <dc:creator>Joffre Barre Veliz</dc:creator>
  <cp:lastModifiedBy>Un-named</cp:lastModifiedBy>
  <cp:revision>1</cp:revision>
  <dcterms:created xsi:type="dcterms:W3CDTF">2026-09-28T20:55:50.454Z</dcterms:created>
  <dcterms:modified xsi:type="dcterms:W3CDTF">2026-09-28T20:55:50.466Z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