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Provider Participation Agreement</w:t>
      </w:r>
    </w:p>
    <w:p>
      <w:r>
        <w:t>This Provider Participation Agreement ("Agreement") is entered into as of August 4, 2025 (the "Effective Date"), by and between UnityCare Insurance Co., a health insurance company organized under the laws of the State of California, with its principal place of business at [Insert Address] ("UnityCare" or "Payer"), and Pinnacle Health Systems, a licensed multi-specialty provider group and diagnostic center with its principal place of business at [Insert Address] ("Provider" or "Pinnacle").</w:t>
      </w:r>
    </w:p>
    <w:p>
      <w:r>
        <w:t>WHEREAS, UnityCare operates managed healthcare benefit plans ("Plans") and desires to arrange for the provision of comprehensive healthcare services to individuals enrolled in its Plans ("Members"); and</w:t>
      </w:r>
    </w:p>
    <w:p>
      <w:r>
        <w:t>WHEREAS, Pinnacle Health Systems has the clinical infrastructure and personnel to provide a broad scope of services including primary care, specialty care, advanced diagnostic imaging, and interventional services to Members under the terms set forth herein;</w:t>
      </w:r>
    </w:p>
    <w:p>
      <w:r>
        <w:t>NOW, THEREFORE, in consideration of the mutual promises and covenants contained herein, the parties agree as follows:</w:t>
      </w:r>
    </w:p>
    <w:p>
      <w:pPr>
        <w:pStyle w:val="Heading1"/>
      </w:pPr>
      <w:r>
        <w:t>1. DEFINITIONS</w:t>
      </w:r>
    </w:p>
    <w:p>
      <w:pPr>
        <w:pStyle w:val="ListBullet"/>
      </w:pPr>
      <w:r>
        <w:t>Advanced Imaging Services: Services involving non-invasive imaging techniques including CT, MRI, PET, and Nuclear Medicine.</w:t>
      </w:r>
    </w:p>
    <w:p>
      <w:pPr>
        <w:pStyle w:val="ListBullet"/>
      </w:pPr>
      <w:r>
        <w:t>Ancillary Services: Services that support diagnosis and treatment such as pathology, radiology, physical therapy, and pharmacy services.</w:t>
      </w:r>
    </w:p>
    <w:p>
      <w:pPr>
        <w:pStyle w:val="ListBullet"/>
      </w:pPr>
      <w:r>
        <w:t>Covered Services: All medically necessary services and procedures listed in Appendix A, provided by Provider to Members and reimbursed by UnityCare.</w:t>
      </w:r>
    </w:p>
    <w:p>
      <w:pPr>
        <w:pStyle w:val="ListBullet"/>
      </w:pPr>
      <w:r>
        <w:t>Member: An individual enrolled in a UnityCare benefit plan eligible to receive Covered Services under this Agreement.</w:t>
      </w:r>
    </w:p>
    <w:p>
      <w:pPr>
        <w:pStyle w:val="ListBullet"/>
      </w:pPr>
      <w:r>
        <w:t>Clean Claim: A claim submitted with complete, accurate coding and necessary documentation in accordance with billing guidelines.</w:t>
      </w:r>
    </w:p>
    <w:p>
      <w:pPr>
        <w:pStyle w:val="ListBullet"/>
      </w:pPr>
      <w:r>
        <w:t>Fee Schedule: The reimbursement rates attached as Appendix B, which may be amended in writing by UnityCare.</w:t>
      </w:r>
    </w:p>
    <w:p>
      <w:pPr>
        <w:pStyle w:val="ListBullet"/>
      </w:pPr>
      <w:r>
        <w:t>Credentialing: The process through which UnityCare verifies Provider qualifications, licensure, and scope of practice.</w:t>
      </w:r>
    </w:p>
    <w:p>
      <w:pPr>
        <w:pStyle w:val="ListBullet"/>
      </w:pPr>
      <w:r>
        <w:t>Medical Necessity: Services deemed essential based on clinical guidelines, appropriateness, and efficiency of resource use.</w:t>
      </w:r>
    </w:p>
    <w:p>
      <w:pPr>
        <w:pStyle w:val="ListBullet"/>
      </w:pPr>
      <w:r>
        <w:t>Utilization Review: Procedures used by UnityCare to evaluate medical necessity, appropriateness, and efficiency of Covered Services.</w:t>
      </w:r>
    </w:p>
    <w:p>
      <w:pPr>
        <w:pStyle w:val="Heading1"/>
      </w:pPr>
      <w:r>
        <w:t>2. SCOPE OF SERVICES</w:t>
      </w:r>
    </w:p>
    <w:p>
      <w:pPr>
        <w:pStyle w:val="ListBullet"/>
      </w:pPr>
      <w:r>
        <w:t>Primary care and preventive services including annual wellness exams, vaccinations, and screenings.</w:t>
      </w:r>
    </w:p>
    <w:p>
      <w:pPr>
        <w:pStyle w:val="ListBullet"/>
      </w:pPr>
      <w:r>
        <w:t>Internal medicine, cardiology, endocrinology, neurology, orthopedics, dermatology, and other specialty consultations.</w:t>
      </w:r>
    </w:p>
    <w:p>
      <w:pPr>
        <w:pStyle w:val="ListBullet"/>
      </w:pPr>
      <w:r>
        <w:t>Outpatient procedures and minor surgical interventions in a clinical setting.</w:t>
      </w:r>
    </w:p>
    <w:p>
      <w:pPr>
        <w:pStyle w:val="ListBullet"/>
      </w:pPr>
      <w:r>
        <w:t>Advanced diagnostic imaging services including CT, MRI, PET scans, and nuclear medicine.</w:t>
      </w:r>
    </w:p>
    <w:p>
      <w:pPr>
        <w:pStyle w:val="ListBullet"/>
      </w:pPr>
      <w:r>
        <w:t>On-site clinical laboratory services including CBC, lipid panel, metabolic panel, and microbiology cultures.</w:t>
      </w:r>
    </w:p>
    <w:p>
      <w:pPr>
        <w:pStyle w:val="ListBullet"/>
      </w:pPr>
      <w:r>
        <w:t>Rehabilitative therapies including physical therapy and occupational therapy.</w:t>
      </w:r>
    </w:p>
    <w:p>
      <w:pPr>
        <w:pStyle w:val="ListBullet"/>
      </w:pPr>
      <w:r>
        <w:t>Behavioral health evaluations, psychiatric consultations, and counseling services.</w:t>
      </w:r>
    </w:p>
    <w:p>
      <w:pPr>
        <w:pStyle w:val="ListBullet"/>
      </w:pPr>
      <w:r>
        <w:t>Telehealth services using HIPAA-compliant audio/video platforms for eligible Covered Services.</w:t>
      </w:r>
    </w:p>
    <w:p>
      <w:pPr>
        <w:pStyle w:val="ListBullet"/>
      </w:pPr>
      <w:r>
        <w:t>Chronic disease management programs including diabetes, hypertension, COPD, and CHF monitoring.</w:t>
      </w:r>
    </w:p>
    <w:p>
      <w:pPr>
        <w:pStyle w:val="ListBullet"/>
      </w:pPr>
      <w:r>
        <w:t>Care coordination, case management, and referral services.</w:t>
      </w:r>
    </w:p>
    <w:p>
      <w:pPr>
        <w:pStyle w:val="Heading1"/>
      </w:pPr>
      <w:r>
        <w:t>3. PROVIDER OBLIGATIONS</w:t>
      </w:r>
    </w:p>
    <w:p>
      <w:pPr>
        <w:pStyle w:val="ListBullet"/>
      </w:pPr>
      <w:r>
        <w:t>Maintain licensure, certification, and accreditation in accordance with the laws of the State of California.</w:t>
      </w:r>
    </w:p>
    <w:p>
      <w:pPr>
        <w:pStyle w:val="ListBullet"/>
      </w:pPr>
      <w:r>
        <w:t>Participate in UnityCare’s credentialing and quality assurance programs, including annual recredentialing.</w:t>
      </w:r>
    </w:p>
    <w:p>
      <w:pPr>
        <w:pStyle w:val="ListBullet"/>
      </w:pPr>
      <w:r>
        <w:t>Comply with all utilization management, prior authorization, and concurrent review protocols.</w:t>
      </w:r>
    </w:p>
    <w:p>
      <w:pPr>
        <w:pStyle w:val="ListBullet"/>
      </w:pPr>
      <w:r>
        <w:t>Provide services without discrimination and in compliance with Member rights under applicable law.</w:t>
      </w:r>
    </w:p>
    <w:p>
      <w:pPr>
        <w:pStyle w:val="ListBullet"/>
      </w:pPr>
      <w:r>
        <w:t>Utilize evidence-based clinical guidelines for diagnosis and treatment.</w:t>
      </w:r>
    </w:p>
    <w:p>
      <w:pPr>
        <w:pStyle w:val="ListBullet"/>
      </w:pPr>
      <w:r>
        <w:t>Cooperate with UnityCare in claims audits, peer review, and investigations of complaints or grievances.</w:t>
      </w:r>
    </w:p>
    <w:p>
      <w:pPr>
        <w:pStyle w:val="ListBullet"/>
      </w:pPr>
      <w:r>
        <w:t>Ensure timely and complete medical record documentation for each Member encounter.</w:t>
      </w:r>
    </w:p>
    <w:p>
      <w:pPr>
        <w:pStyle w:val="Heading1"/>
      </w:pPr>
      <w:r>
        <w:t>4. COMPENSATION AND BILLING</w:t>
      </w:r>
    </w:p>
    <w:p>
      <w:pPr>
        <w:pStyle w:val="ListBullet"/>
      </w:pPr>
      <w:r>
        <w:t>Provider shall be reimbursed per the Fee Schedule in Appendix B for all Covered Services rendered to Members.</w:t>
      </w:r>
    </w:p>
    <w:p>
      <w:pPr>
        <w:pStyle w:val="ListBullet"/>
      </w:pPr>
      <w:r>
        <w:t>Provider shall submit Clean Claims within ninety (90) days of the date of service.</w:t>
      </w:r>
    </w:p>
    <w:p>
      <w:pPr>
        <w:pStyle w:val="ListBullet"/>
      </w:pPr>
      <w:r>
        <w:t>UnityCare shall process and remit payment for Clean Claims within thirty (30) days of receipt.</w:t>
      </w:r>
    </w:p>
    <w:p>
      <w:pPr>
        <w:pStyle w:val="ListBullet"/>
      </w:pPr>
      <w:r>
        <w:t>UnityCare shall provide electronic remittance advice (ERA) and explanation of benefits (EOB) per transaction.</w:t>
      </w:r>
    </w:p>
    <w:p>
      <w:pPr>
        <w:pStyle w:val="ListBullet"/>
      </w:pPr>
      <w:r>
        <w:t>Provider shall not balance bill Members for any amounts exceeding UnityCare's reimbursement, except Member cost-sharing obligations.</w:t>
      </w:r>
    </w:p>
    <w:p>
      <w:pPr>
        <w:pStyle w:val="ListBullet"/>
      </w:pPr>
      <w:r>
        <w:t>Provider agrees to comply with Coordination of Benefits (COB) procedures when Members have secondary coverage.</w:t>
      </w:r>
    </w:p>
    <w:p>
      <w:pPr>
        <w:pStyle w:val="ListBullet"/>
      </w:pPr>
      <w:r>
        <w:t>In cases of overpayment, UnityCare reserves the right to recover funds within 180 days from the date of payment.</w:t>
      </w:r>
    </w:p>
    <w:p>
      <w:pPr>
        <w:pStyle w:val="Heading1"/>
      </w:pPr>
      <w:r>
        <w:t>5. UTILIZATION REVIEW</w:t>
      </w:r>
    </w:p>
    <w:p>
      <w:pPr>
        <w:pStyle w:val="ListBullet"/>
      </w:pPr>
      <w:r>
        <w:t>Provider shall adhere to UnityCare's prior authorization and concurrent review protocols.</w:t>
      </w:r>
    </w:p>
    <w:p>
      <w:pPr>
        <w:pStyle w:val="ListBullet"/>
      </w:pPr>
      <w:r>
        <w:t>Authorization requirements for high-cost services (e.g., MRI, CT, PET, inpatient admissions) must be followed.</w:t>
      </w:r>
    </w:p>
    <w:p>
      <w:pPr>
        <w:pStyle w:val="ListBullet"/>
      </w:pPr>
      <w:r>
        <w:t>Emergency services are exempt from prior authorization.</w:t>
      </w:r>
    </w:p>
    <w:p>
      <w:pPr>
        <w:pStyle w:val="ListBullet"/>
      </w:pPr>
      <w:r>
        <w:t>Utilization decisions shall be made based on medical necessity and industry-standard guidelines (e.g., MCG, InterQual).</w:t>
      </w:r>
    </w:p>
    <w:p>
      <w:pPr>
        <w:pStyle w:val="ListBullet"/>
      </w:pPr>
      <w:r>
        <w:t>Provider may appeal any denial of services using UnityCare’s internal review process.</w:t>
      </w:r>
    </w:p>
    <w:p>
      <w:pPr>
        <w:pStyle w:val="Heading1"/>
      </w:pPr>
      <w:r>
        <w:t>6. COMPLIANCE AND CONFIDENTIALITY</w:t>
      </w:r>
    </w:p>
    <w:p>
      <w:pPr>
        <w:pStyle w:val="ListBullet"/>
      </w:pPr>
      <w:r>
        <w:t>Provider shall comply with all applicable federal and state laws including HIPAA, HITECH, ACA, and California Health and Safety Code.</w:t>
      </w:r>
    </w:p>
    <w:p>
      <w:pPr>
        <w:pStyle w:val="ListBullet"/>
      </w:pPr>
      <w:r>
        <w:t>Medical records must be retained for at least ten (10) years or as otherwise required by law.</w:t>
      </w:r>
    </w:p>
    <w:p>
      <w:pPr>
        <w:pStyle w:val="ListBullet"/>
      </w:pPr>
      <w:r>
        <w:t>Provider shall execute and comply with UnityCare’s Business Associate Agreement (BAA).</w:t>
      </w:r>
    </w:p>
    <w:p>
      <w:pPr>
        <w:pStyle w:val="ListBullet"/>
      </w:pPr>
      <w:r>
        <w:t>All Member information is confidential and must be protected under applicable privacy laws.</w:t>
      </w:r>
    </w:p>
    <w:p>
      <w:pPr>
        <w:pStyle w:val="ListBullet"/>
      </w:pPr>
      <w:r>
        <w:t>Provider shall notify UnityCare within five (5) business days of any breach, subpoena, or investigation.</w:t>
      </w:r>
    </w:p>
    <w:p>
      <w:r>
        <w:br w:type="page"/>
      </w:r>
    </w:p>
    <w:p>
      <w:pPr>
        <w:pStyle w:val="Heading1"/>
      </w:pPr>
      <w:r>
        <w:t>Appendix A: Covered Services – CPT/HCPCS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CPT/HCPCS Code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99213</w:t>
            </w:r>
          </w:p>
        </w:tc>
        <w:tc>
          <w:tcPr>
            <w:tcW w:type="dxa" w:w="4320"/>
          </w:tcPr>
          <w:p>
            <w:r>
              <w:t>Office Visit, Established Patient</w:t>
            </w:r>
          </w:p>
        </w:tc>
      </w:tr>
      <w:tr>
        <w:tc>
          <w:tcPr>
            <w:tcW w:type="dxa" w:w="4320"/>
          </w:tcPr>
          <w:p>
            <w:r>
              <w:t>99396</w:t>
            </w:r>
          </w:p>
        </w:tc>
        <w:tc>
          <w:tcPr>
            <w:tcW w:type="dxa" w:w="4320"/>
          </w:tcPr>
          <w:p>
            <w:r>
              <w:t>Preventive Visit, Age 40–64</w:t>
            </w:r>
          </w:p>
        </w:tc>
      </w:tr>
      <w:tr>
        <w:tc>
          <w:tcPr>
            <w:tcW w:type="dxa" w:w="4320"/>
          </w:tcPr>
          <w:p>
            <w:r>
              <w:t>70450</w:t>
            </w:r>
          </w:p>
        </w:tc>
        <w:tc>
          <w:tcPr>
            <w:tcW w:type="dxa" w:w="4320"/>
          </w:tcPr>
          <w:p>
            <w:r>
              <w:t>CT Head/Brain without contrast</w:t>
            </w:r>
          </w:p>
        </w:tc>
      </w:tr>
      <w:tr>
        <w:tc>
          <w:tcPr>
            <w:tcW w:type="dxa" w:w="4320"/>
          </w:tcPr>
          <w:p>
            <w:r>
              <w:t>70553</w:t>
            </w:r>
          </w:p>
        </w:tc>
        <w:tc>
          <w:tcPr>
            <w:tcW w:type="dxa" w:w="4320"/>
          </w:tcPr>
          <w:p>
            <w:r>
              <w:t>MRI Brain with and without contrast</w:t>
            </w:r>
          </w:p>
        </w:tc>
      </w:tr>
      <w:tr>
        <w:tc>
          <w:tcPr>
            <w:tcW w:type="dxa" w:w="4320"/>
          </w:tcPr>
          <w:p>
            <w:r>
              <w:t>74177</w:t>
            </w:r>
          </w:p>
        </w:tc>
        <w:tc>
          <w:tcPr>
            <w:tcW w:type="dxa" w:w="4320"/>
          </w:tcPr>
          <w:p>
            <w:r>
              <w:t>CT Abdomen and Pelvis with contrast</w:t>
            </w:r>
          </w:p>
        </w:tc>
      </w:tr>
      <w:tr>
        <w:tc>
          <w:tcPr>
            <w:tcW w:type="dxa" w:w="4320"/>
          </w:tcPr>
          <w:p>
            <w:r>
              <w:t>72148</w:t>
            </w:r>
          </w:p>
        </w:tc>
        <w:tc>
          <w:tcPr>
            <w:tcW w:type="dxa" w:w="4320"/>
          </w:tcPr>
          <w:p>
            <w:r>
              <w:t>MRI Lumbar Spine without contrast</w:t>
            </w:r>
          </w:p>
        </w:tc>
      </w:tr>
      <w:tr>
        <w:tc>
          <w:tcPr>
            <w:tcW w:type="dxa" w:w="4320"/>
          </w:tcPr>
          <w:p>
            <w:r>
              <w:t>93000</w:t>
            </w:r>
          </w:p>
        </w:tc>
        <w:tc>
          <w:tcPr>
            <w:tcW w:type="dxa" w:w="4320"/>
          </w:tcPr>
          <w:p>
            <w:r>
              <w:t>Electrocardiogram</w:t>
            </w:r>
          </w:p>
        </w:tc>
      </w:tr>
      <w:tr>
        <w:tc>
          <w:tcPr>
            <w:tcW w:type="dxa" w:w="4320"/>
          </w:tcPr>
          <w:p>
            <w:r>
              <w:t>80053</w:t>
            </w:r>
          </w:p>
        </w:tc>
        <w:tc>
          <w:tcPr>
            <w:tcW w:type="dxa" w:w="4320"/>
          </w:tcPr>
          <w:p>
            <w:r>
              <w:t>Comprehensive Metabolic Panel</w:t>
            </w:r>
          </w:p>
        </w:tc>
      </w:tr>
      <w:tr>
        <w:tc>
          <w:tcPr>
            <w:tcW w:type="dxa" w:w="4320"/>
          </w:tcPr>
          <w:p>
            <w:r>
              <w:t>85025</w:t>
            </w:r>
          </w:p>
        </w:tc>
        <w:tc>
          <w:tcPr>
            <w:tcW w:type="dxa" w:w="4320"/>
          </w:tcPr>
          <w:p>
            <w:r>
              <w:t>Complete Blood Count (CBC) with differential</w:t>
            </w:r>
          </w:p>
        </w:tc>
      </w:tr>
      <w:tr>
        <w:tc>
          <w:tcPr>
            <w:tcW w:type="dxa" w:w="4320"/>
          </w:tcPr>
          <w:p>
            <w:r>
              <w:t>87086</w:t>
            </w:r>
          </w:p>
        </w:tc>
        <w:tc>
          <w:tcPr>
            <w:tcW w:type="dxa" w:w="4320"/>
          </w:tcPr>
          <w:p>
            <w:r>
              <w:t>Urine Culture</w:t>
            </w:r>
          </w:p>
        </w:tc>
      </w:tr>
      <w:tr>
        <w:tc>
          <w:tcPr>
            <w:tcW w:type="dxa" w:w="4320"/>
          </w:tcPr>
          <w:p>
            <w:r>
              <w:t>71020</w:t>
            </w:r>
          </w:p>
        </w:tc>
        <w:tc>
          <w:tcPr>
            <w:tcW w:type="dxa" w:w="4320"/>
          </w:tcPr>
          <w:p>
            <w:r>
              <w:t>Chest X-Ray, 2 views</w:t>
            </w:r>
          </w:p>
        </w:tc>
      </w:tr>
      <w:tr>
        <w:tc>
          <w:tcPr>
            <w:tcW w:type="dxa" w:w="4320"/>
          </w:tcPr>
          <w:p>
            <w:r>
              <w:t>97001</w:t>
            </w:r>
          </w:p>
        </w:tc>
        <w:tc>
          <w:tcPr>
            <w:tcW w:type="dxa" w:w="4320"/>
          </w:tcPr>
          <w:p>
            <w:r>
              <w:t>Physical Therapy Evaluation</w:t>
            </w:r>
          </w:p>
        </w:tc>
      </w:tr>
      <w:tr>
        <w:tc>
          <w:tcPr>
            <w:tcW w:type="dxa" w:w="4320"/>
          </w:tcPr>
          <w:p>
            <w:r>
              <w:t>96127</w:t>
            </w:r>
          </w:p>
        </w:tc>
        <w:tc>
          <w:tcPr>
            <w:tcW w:type="dxa" w:w="4320"/>
          </w:tcPr>
          <w:p>
            <w:r>
              <w:t>Behavioral/Mental Health Screening</w:t>
            </w:r>
          </w:p>
        </w:tc>
      </w:tr>
      <w:tr>
        <w:tc>
          <w:tcPr>
            <w:tcW w:type="dxa" w:w="4320"/>
          </w:tcPr>
          <w:p>
            <w:r>
              <w:t>99441</w:t>
            </w:r>
          </w:p>
        </w:tc>
        <w:tc>
          <w:tcPr>
            <w:tcW w:type="dxa" w:w="4320"/>
          </w:tcPr>
          <w:p>
            <w:r>
              <w:t>Telephone Evaluation and Management, 5-10 min</w:t>
            </w:r>
          </w:p>
        </w:tc>
      </w:tr>
      <w:tr>
        <w:tc>
          <w:tcPr>
            <w:tcW w:type="dxa" w:w="4320"/>
          </w:tcPr>
          <w:p>
            <w:r>
              <w:t>99457</w:t>
            </w:r>
          </w:p>
        </w:tc>
        <w:tc>
          <w:tcPr>
            <w:tcW w:type="dxa" w:w="4320"/>
          </w:tcPr>
          <w:p>
            <w:r>
              <w:t>Remote Physiologic Monitoring Treatment Mgmt</w:t>
            </w:r>
          </w:p>
        </w:tc>
      </w:tr>
    </w:tbl>
    <w:p>
      <w:r>
        <w:br w:type="page"/>
      </w:r>
    </w:p>
    <w:p>
      <w:pPr>
        <w:pStyle w:val="Heading1"/>
      </w:pPr>
      <w:r>
        <w:t>Appendix B: Reimbursement Fee Schedule – USD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CPT/HCPCS Code</w:t>
            </w:r>
          </w:p>
        </w:tc>
        <w:tc>
          <w:tcPr>
            <w:tcW w:type="dxa" w:w="4320"/>
          </w:tcPr>
          <w:p>
            <w:r>
              <w:t>Reimbursement Amount (USD)</w:t>
            </w:r>
          </w:p>
        </w:tc>
      </w:tr>
      <w:tr>
        <w:tc>
          <w:tcPr>
            <w:tcW w:type="dxa" w:w="4320"/>
          </w:tcPr>
          <w:p>
            <w:r>
              <w:t>99213</w:t>
            </w:r>
          </w:p>
        </w:tc>
        <w:tc>
          <w:tcPr>
            <w:tcW w:type="dxa" w:w="4320"/>
          </w:tcPr>
          <w:p>
            <w:r>
              <w:t>$90.00</w:t>
            </w:r>
          </w:p>
        </w:tc>
      </w:tr>
      <w:tr>
        <w:tc>
          <w:tcPr>
            <w:tcW w:type="dxa" w:w="4320"/>
          </w:tcPr>
          <w:p>
            <w:r>
              <w:t>99396</w:t>
            </w:r>
          </w:p>
        </w:tc>
        <w:tc>
          <w:tcPr>
            <w:tcW w:type="dxa" w:w="4320"/>
          </w:tcPr>
          <w:p>
            <w:r>
              <w:t>$150.00</w:t>
            </w:r>
          </w:p>
        </w:tc>
      </w:tr>
      <w:tr>
        <w:tc>
          <w:tcPr>
            <w:tcW w:type="dxa" w:w="4320"/>
          </w:tcPr>
          <w:p>
            <w:r>
              <w:t>70450</w:t>
            </w:r>
          </w:p>
        </w:tc>
        <w:tc>
          <w:tcPr>
            <w:tcW w:type="dxa" w:w="4320"/>
          </w:tcPr>
          <w:p>
            <w:r>
              <w:t>$320.00</w:t>
            </w:r>
          </w:p>
        </w:tc>
      </w:tr>
      <w:tr>
        <w:tc>
          <w:tcPr>
            <w:tcW w:type="dxa" w:w="4320"/>
          </w:tcPr>
          <w:p>
            <w:r>
              <w:t>70553</w:t>
            </w:r>
          </w:p>
        </w:tc>
        <w:tc>
          <w:tcPr>
            <w:tcW w:type="dxa" w:w="4320"/>
          </w:tcPr>
          <w:p>
            <w:r>
              <w:t>$720.00</w:t>
            </w:r>
          </w:p>
        </w:tc>
      </w:tr>
      <w:tr>
        <w:tc>
          <w:tcPr>
            <w:tcW w:type="dxa" w:w="4320"/>
          </w:tcPr>
          <w:p>
            <w:r>
              <w:t>74177</w:t>
            </w:r>
          </w:p>
        </w:tc>
        <w:tc>
          <w:tcPr>
            <w:tcW w:type="dxa" w:w="4320"/>
          </w:tcPr>
          <w:p>
            <w:r>
              <w:t>$680.00</w:t>
            </w:r>
          </w:p>
        </w:tc>
      </w:tr>
      <w:tr>
        <w:tc>
          <w:tcPr>
            <w:tcW w:type="dxa" w:w="4320"/>
          </w:tcPr>
          <w:p>
            <w:r>
              <w:t>72148</w:t>
            </w:r>
          </w:p>
        </w:tc>
        <w:tc>
          <w:tcPr>
            <w:tcW w:type="dxa" w:w="4320"/>
          </w:tcPr>
          <w:p>
            <w:r>
              <w:t>$650.00</w:t>
            </w:r>
          </w:p>
        </w:tc>
      </w:tr>
      <w:tr>
        <w:tc>
          <w:tcPr>
            <w:tcW w:type="dxa" w:w="4320"/>
          </w:tcPr>
          <w:p>
            <w:r>
              <w:t>93000</w:t>
            </w:r>
          </w:p>
        </w:tc>
        <w:tc>
          <w:tcPr>
            <w:tcW w:type="dxa" w:w="4320"/>
          </w:tcPr>
          <w:p>
            <w:r>
              <w:t>$35.00</w:t>
            </w:r>
          </w:p>
        </w:tc>
      </w:tr>
      <w:tr>
        <w:tc>
          <w:tcPr>
            <w:tcW w:type="dxa" w:w="4320"/>
          </w:tcPr>
          <w:p>
            <w:r>
              <w:t>80053</w:t>
            </w:r>
          </w:p>
        </w:tc>
        <w:tc>
          <w:tcPr>
            <w:tcW w:type="dxa" w:w="4320"/>
          </w:tcPr>
          <w:p>
            <w:r>
              <w:t>$40.00</w:t>
            </w:r>
          </w:p>
        </w:tc>
      </w:tr>
      <w:tr>
        <w:tc>
          <w:tcPr>
            <w:tcW w:type="dxa" w:w="4320"/>
          </w:tcPr>
          <w:p>
            <w:r>
              <w:t>85025</w:t>
            </w:r>
          </w:p>
        </w:tc>
        <w:tc>
          <w:tcPr>
            <w:tcW w:type="dxa" w:w="4320"/>
          </w:tcPr>
          <w:p>
            <w:r>
              <w:t>$25.00</w:t>
            </w:r>
          </w:p>
        </w:tc>
      </w:tr>
      <w:tr>
        <w:tc>
          <w:tcPr>
            <w:tcW w:type="dxa" w:w="4320"/>
          </w:tcPr>
          <w:p>
            <w:r>
              <w:t>87086</w:t>
            </w:r>
          </w:p>
        </w:tc>
        <w:tc>
          <w:tcPr>
            <w:tcW w:type="dxa" w:w="4320"/>
          </w:tcPr>
          <w:p>
            <w:r>
              <w:t>$28.00</w:t>
            </w:r>
          </w:p>
        </w:tc>
      </w:tr>
      <w:tr>
        <w:tc>
          <w:tcPr>
            <w:tcW w:type="dxa" w:w="4320"/>
          </w:tcPr>
          <w:p>
            <w:r>
              <w:t>71020</w:t>
            </w:r>
          </w:p>
        </w:tc>
        <w:tc>
          <w:tcPr>
            <w:tcW w:type="dxa" w:w="4320"/>
          </w:tcPr>
          <w:p>
            <w:r>
              <w:t>$50.00</w:t>
            </w:r>
          </w:p>
        </w:tc>
      </w:tr>
      <w:tr>
        <w:tc>
          <w:tcPr>
            <w:tcW w:type="dxa" w:w="4320"/>
          </w:tcPr>
          <w:p>
            <w:r>
              <w:t>97001</w:t>
            </w:r>
          </w:p>
        </w:tc>
        <w:tc>
          <w:tcPr>
            <w:tcW w:type="dxa" w:w="4320"/>
          </w:tcPr>
          <w:p>
            <w:r>
              <w:t>$85.00</w:t>
            </w:r>
          </w:p>
        </w:tc>
      </w:tr>
      <w:tr>
        <w:tc>
          <w:tcPr>
            <w:tcW w:type="dxa" w:w="4320"/>
          </w:tcPr>
          <w:p>
            <w:r>
              <w:t>96127</w:t>
            </w:r>
          </w:p>
        </w:tc>
        <w:tc>
          <w:tcPr>
            <w:tcW w:type="dxa" w:w="4320"/>
          </w:tcPr>
          <w:p>
            <w:r>
              <w:t>$15.00</w:t>
            </w:r>
          </w:p>
        </w:tc>
      </w:tr>
      <w:tr>
        <w:tc>
          <w:tcPr>
            <w:tcW w:type="dxa" w:w="4320"/>
          </w:tcPr>
          <w:p>
            <w:r>
              <w:t>99441</w:t>
            </w:r>
          </w:p>
        </w:tc>
        <w:tc>
          <w:tcPr>
            <w:tcW w:type="dxa" w:w="4320"/>
          </w:tcPr>
          <w:p>
            <w:r>
              <w:t>$35.00</w:t>
            </w:r>
          </w:p>
        </w:tc>
      </w:tr>
      <w:tr>
        <w:tc>
          <w:tcPr>
            <w:tcW w:type="dxa" w:w="4320"/>
          </w:tcPr>
          <w:p>
            <w:r>
              <w:t>99457</w:t>
            </w:r>
          </w:p>
        </w:tc>
        <w:tc>
          <w:tcPr>
            <w:tcW w:type="dxa" w:w="4320"/>
          </w:tcPr>
          <w:p>
            <w:r>
              <w:t>$58.00</w:t>
            </w:r>
          </w:p>
        </w:tc>
      </w:tr>
    </w:tbl>
    <w:p>
      <w:r>
        <w:br w:type="page"/>
      </w:r>
    </w:p>
    <w:p>
      <w:pPr>
        <w:pStyle w:val="Heading1"/>
      </w:pPr>
      <w:r>
        <w:t>Signature Page</w:t>
      </w:r>
    </w:p>
    <w:p>
      <w:r>
        <w:t>IN WITNESS WHEREOF, the parties have executed this Agreement as of the Effective Date.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UNITYCARE INSURANCE CO.</w:t>
            </w:r>
          </w:p>
        </w:tc>
        <w:tc>
          <w:tcPr>
            <w:tcW w:type="dxa" w:w="4320"/>
          </w:tcPr>
          <w:p>
            <w:r>
              <w:t>PINNACLE HEALTH SYSTEMS</w:t>
            </w:r>
          </w:p>
        </w:tc>
      </w:tr>
      <w:tr>
        <w:tc>
          <w:tcPr>
            <w:tcW w:type="dxa" w:w="4320"/>
          </w:tcPr>
          <w:p>
            <w:r>
              <w:t>By: Michael Tran</w:t>
              <w:br/>
              <w:t>Title: EVP of Network Operations</w:t>
              <w:br/>
              <w:t>Date: August 4, 2025</w:t>
            </w:r>
          </w:p>
        </w:tc>
        <w:tc>
          <w:tcPr>
            <w:tcW w:type="dxa" w:w="4320"/>
          </w:tcPr>
          <w:p>
            <w:r>
              <w:t>By: Dr. Evelyn Carter</w:t>
              <w:br/>
              <w:t>Title: President &amp; CMO</w:t>
              <w:br/>
              <w:t>Date: August 4, 2025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