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15" w:rsidRPr="00C46615" w:rsidRDefault="00C46615" w:rsidP="00C46615">
      <w:pPr>
        <w:jc w:val="both"/>
        <w:rPr>
          <w:b/>
          <w:sz w:val="32"/>
          <w:szCs w:val="32"/>
        </w:rPr>
      </w:pPr>
      <w:r w:rsidRPr="00C46615">
        <w:rPr>
          <w:b/>
          <w:sz w:val="32"/>
          <w:szCs w:val="32"/>
        </w:rPr>
        <w:t xml:space="preserve">Digital Forensics </w:t>
      </w:r>
      <w:proofErr w:type="gramStart"/>
      <w:r w:rsidRPr="00C46615">
        <w:rPr>
          <w:b/>
          <w:sz w:val="32"/>
          <w:szCs w:val="32"/>
        </w:rPr>
        <w:t>As</w:t>
      </w:r>
      <w:proofErr w:type="gramEnd"/>
      <w:r w:rsidRPr="00C46615">
        <w:rPr>
          <w:b/>
          <w:sz w:val="32"/>
          <w:szCs w:val="32"/>
        </w:rPr>
        <w:t xml:space="preserve"> A Service</w:t>
      </w: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Introduction</w:t>
      </w:r>
    </w:p>
    <w:p w:rsidR="00C46615" w:rsidRDefault="00C46615" w:rsidP="00C46615">
      <w:pPr>
        <w:jc w:val="both"/>
      </w:pPr>
      <w:r>
        <w:t>To enable contextual and secure communication between distributed and polyglot service providers and between front-end user experience and back-end systems, we leverage</w:t>
      </w:r>
      <w:r>
        <w:t xml:space="preserve"> </w:t>
      </w:r>
      <w:r>
        <w:t>standardized Starbucks claims conveyed in JSON Web Token (JWT) format and encapsulated in a signed JSON Web Signature (JWS) envelope. Signature validation (asymmetric) of a</w:t>
      </w:r>
      <w:r>
        <w:t xml:space="preserve"> </w:t>
      </w:r>
      <w:r>
        <w:t>trusted issuer enables assurance that claims have not been tampered with in-flight (i.e. signature over hashed claim set) and validation of the issuer identity; taken together, the receiver</w:t>
      </w:r>
      <w:r>
        <w:t xml:space="preserve"> </w:t>
      </w:r>
      <w:r>
        <w:t>may trust the claims.</w:t>
      </w:r>
    </w:p>
    <w:p w:rsidR="00C46615" w:rsidRDefault="00C46615" w:rsidP="00C46615">
      <w:pPr>
        <w:jc w:val="both"/>
      </w:pPr>
      <w:r>
        <w:t>See JSON Web Token Introduction for general background on JWT format.</w:t>
      </w:r>
    </w:p>
    <w:p w:rsidR="00C46615" w:rsidRDefault="00C46615" w:rsidP="00C46615">
      <w:pPr>
        <w:jc w:val="both"/>
      </w:pPr>
      <w:r>
        <w:t xml:space="preserve">Important: The ultimate "security" of </w:t>
      </w:r>
      <w:proofErr w:type="spellStart"/>
      <w:r>
        <w:t>DFaaS</w:t>
      </w:r>
      <w:proofErr w:type="spellEnd"/>
      <w:r>
        <w:t xml:space="preserve"> JWT depends on secure and consistent cryptographic key management processes.</w:t>
      </w:r>
    </w:p>
    <w:p w:rsidR="00C46615" w:rsidRDefault="00C46615" w:rsidP="00C46615">
      <w:pPr>
        <w:jc w:val="both"/>
      </w:pPr>
      <w:r>
        <w:t xml:space="preserve">Important: </w:t>
      </w:r>
      <w:proofErr w:type="spellStart"/>
      <w:r>
        <w:t>DFaaS</w:t>
      </w:r>
      <w:proofErr w:type="spellEnd"/>
      <w:r>
        <w:t xml:space="preserve"> JWT conveys both the Subject (sub) in the current session and the service Client (s-</w:t>
      </w:r>
      <w:proofErr w:type="spellStart"/>
      <w:r>
        <w:t>cid</w:t>
      </w:r>
      <w:proofErr w:type="spellEnd"/>
      <w:r>
        <w:t>). In some cases, the Subject and the Caller may be the same (e.g. a system</w:t>
      </w:r>
      <w:r>
        <w:t xml:space="preserve"> </w:t>
      </w:r>
      <w:r>
        <w:t>making a call on its own behalf); in other cases, the Subject and Caller will be different (e.g. a system making a call on behalf of an identified End-User such as a Customer or Partner).</w:t>
      </w:r>
    </w:p>
    <w:p w:rsidR="00C46615" w:rsidRDefault="00C46615" w:rsidP="00C46615">
      <w:pPr>
        <w:jc w:val="both"/>
      </w:pPr>
      <w:r>
        <w:t xml:space="preserve">Identifiers used in the </w:t>
      </w:r>
      <w:proofErr w:type="spellStart"/>
      <w:r>
        <w:t>DFaaS</w:t>
      </w:r>
      <w:proofErr w:type="spellEnd"/>
      <w:r>
        <w:t xml:space="preserve"> JWT format fall into two categories:</w:t>
      </w:r>
    </w:p>
    <w:p w:rsidR="00C46615" w:rsidRDefault="00C46615" w:rsidP="00C46615">
      <w:pPr>
        <w:jc w:val="both"/>
      </w:pPr>
      <w:r>
        <w:t>1. Unique user identifiers (UIDs) from an Identity Provider (</w:t>
      </w:r>
      <w:proofErr w:type="spellStart"/>
      <w:r>
        <w:t>IdP</w:t>
      </w:r>
      <w:proofErr w:type="spellEnd"/>
      <w:r>
        <w:t>) – For Subject (sub) when the subject is a Customer or Partner (or 3rd-party Merchant)</w:t>
      </w:r>
    </w:p>
    <w:p w:rsidR="00C46615" w:rsidRDefault="00C46615" w:rsidP="00C46615">
      <w:pPr>
        <w:jc w:val="both"/>
      </w:pPr>
      <w:r>
        <w:t xml:space="preserve">2. Unique </w:t>
      </w:r>
      <w:proofErr w:type="spellStart"/>
      <w:r>
        <w:t>DFaaS</w:t>
      </w:r>
      <w:proofErr w:type="spellEnd"/>
      <w:r>
        <w:t xml:space="preserve"> Entities (DNs/RDNs) – Always for Issuer (</w:t>
      </w:r>
      <w:proofErr w:type="spellStart"/>
      <w:r>
        <w:t>iss</w:t>
      </w:r>
      <w:proofErr w:type="spellEnd"/>
      <w:r>
        <w:t>), Client (s-</w:t>
      </w:r>
      <w:proofErr w:type="spellStart"/>
      <w:r>
        <w:t>cid</w:t>
      </w:r>
      <w:proofErr w:type="spellEnd"/>
      <w:r>
        <w:t>), and Audience (</w:t>
      </w:r>
      <w:proofErr w:type="spellStart"/>
      <w:r>
        <w:t>aud</w:t>
      </w:r>
      <w:proofErr w:type="spellEnd"/>
      <w:r>
        <w:t xml:space="preserve">); for Subject when the subject is a </w:t>
      </w:r>
      <w:proofErr w:type="spellStart"/>
      <w:r>
        <w:t>DFaaS</w:t>
      </w:r>
      <w:proofErr w:type="spellEnd"/>
      <w:r>
        <w:t xml:space="preserve"> entity acting on its own behalf</w:t>
      </w:r>
    </w:p>
    <w:p w:rsidR="00C46615" w:rsidRDefault="00C46615" w:rsidP="00C46615">
      <w:pPr>
        <w:jc w:val="both"/>
      </w:pPr>
      <w:r>
        <w:t xml:space="preserve">Subject Tags (s-stag) used in the </w:t>
      </w:r>
      <w:proofErr w:type="spellStart"/>
      <w:r>
        <w:t>DFaaS</w:t>
      </w:r>
      <w:proofErr w:type="spellEnd"/>
      <w:r>
        <w:t xml:space="preserve"> JWT format represent domain-independent "fact" statements or tags (i.e. not application specific) that can be asserted about the current subject</w:t>
      </w:r>
      <w:r>
        <w:t xml:space="preserve"> </w:t>
      </w:r>
      <w:r>
        <w:t xml:space="preserve">context. </w:t>
      </w:r>
      <w:proofErr w:type="spellStart"/>
      <w:r>
        <w:t>DFaaS</w:t>
      </w:r>
      <w:proofErr w:type="spellEnd"/>
      <w:r>
        <w:t xml:space="preserve"> Subject Tags are centrally managed (enumerated) codes that can be understood by all </w:t>
      </w:r>
      <w:proofErr w:type="spellStart"/>
      <w:r>
        <w:t>DFaaS</w:t>
      </w:r>
      <w:proofErr w:type="spellEnd"/>
      <w:r>
        <w:t xml:space="preserve"> participants. The intent of subject tags is to enable a receiver to reason and</w:t>
      </w:r>
      <w:r>
        <w:t xml:space="preserve"> </w:t>
      </w:r>
      <w:r>
        <w:t>decision around the nature of the Subject, Channel, and Market in the current call.</w:t>
      </w:r>
    </w:p>
    <w:p w:rsidR="007B18DE" w:rsidRDefault="00C46615" w:rsidP="00C46615">
      <w:pPr>
        <w:jc w:val="both"/>
      </w:pPr>
      <w:r>
        <w:t xml:space="preserve">Diagram of relationship of JWT format to roles and entities: </w:t>
      </w:r>
      <w:proofErr w:type="spellStart"/>
      <w:r>
        <w:t>DFaaS</w:t>
      </w:r>
      <w:proofErr w:type="spellEnd"/>
      <w:r>
        <w:t xml:space="preserve"> JWT - Key Identifier and Context Relationships</w:t>
      </w:r>
      <w:r>
        <w:t xml:space="preserve"> </w:t>
      </w:r>
      <w:r>
        <w:t xml:space="preserve">See Customer Technology Platform - </w:t>
      </w:r>
      <w:proofErr w:type="spellStart"/>
      <w:r>
        <w:t>DFaaS</w:t>
      </w:r>
      <w:proofErr w:type="spellEnd"/>
      <w:r>
        <w:t xml:space="preserve"> IAM and Network-Level Controls (Target) for depiction of </w:t>
      </w:r>
      <w:proofErr w:type="spellStart"/>
      <w:r>
        <w:t>DFaaS</w:t>
      </w:r>
      <w:proofErr w:type="spellEnd"/>
      <w:r>
        <w:t xml:space="preserve"> Token passing between </w:t>
      </w:r>
      <w:proofErr w:type="spellStart"/>
      <w:r>
        <w:t>DFaaS</w:t>
      </w:r>
      <w:proofErr w:type="spellEnd"/>
      <w:r>
        <w:t xml:space="preserve"> frontend and backend (B2C) and between</w:t>
      </w:r>
      <w:r>
        <w:t xml:space="preserve"> </w:t>
      </w:r>
      <w:r>
        <w:t xml:space="preserve">domain components (A2A) in a logical target architecture. Target represents deployment of next-generation customer IAM deployment addressing holistic concerns cross-cloud, </w:t>
      </w:r>
      <w:proofErr w:type="spellStart"/>
      <w:r>
        <w:t>crossstack</w:t>
      </w:r>
      <w:proofErr w:type="spellEnd"/>
      <w:r>
        <w:t>,</w:t>
      </w:r>
      <w:r>
        <w:t xml:space="preserve"> </w:t>
      </w:r>
      <w:r>
        <w:t>and cross-team; target emphasizes externalization of policy and enforcement from business logic (for agility and consistency) and seeks to embed or bridge to different cloud hosting</w:t>
      </w:r>
      <w:r>
        <w:t xml:space="preserve"> </w:t>
      </w:r>
      <w:r>
        <w:t>providers and architectures in-use at Starbucks.</w:t>
      </w:r>
    </w:p>
    <w:p w:rsidR="00C46615" w:rsidRDefault="00C46615" w:rsidP="00C46615">
      <w:pPr>
        <w:jc w:val="both"/>
      </w:pP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lastRenderedPageBreak/>
        <w:t>JSON Web Signature (JWS)</w:t>
      </w:r>
    </w:p>
    <w:p w:rsidR="00C46615" w:rsidRDefault="00C46615" w:rsidP="00C46615">
      <w:pPr>
        <w:jc w:val="both"/>
      </w:pPr>
      <w:r>
        <w:t>The JWT Claim Set will be conveyed in a digitally-signed JWS (RFC 7515) envelope using JWS JSON Compact Serialization. The cryptographic algorithm used to secure the JWS will be</w:t>
      </w:r>
      <w:r>
        <w:t xml:space="preserve"> </w:t>
      </w:r>
      <w:r>
        <w:t>asymmetric (PKI). By this means, the issuer (owner of private key) will be authenticated downstream (with the corresponding public key) and the JWS protected header and JWT payload</w:t>
      </w:r>
      <w:r>
        <w:t xml:space="preserve"> </w:t>
      </w:r>
      <w:r>
        <w:t>can be confirmed as untampered (i.e. as the issuer sent).</w:t>
      </w: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Cryptographic Algorithm</w:t>
      </w:r>
    </w:p>
    <w:p w:rsidR="00C46615" w:rsidRDefault="00C46615" w:rsidP="00C46615">
      <w:pPr>
        <w:jc w:val="both"/>
      </w:pPr>
      <w:r>
        <w:t>The cryptographic algorithm used to secure the JWS will be asymmetric (PKI) leveraging RSA PKCS#1 signature with SHA-256 hashing. The corresponding algorithm type enumeration</w:t>
      </w:r>
      <w:r>
        <w:t xml:space="preserve"> </w:t>
      </w:r>
      <w:r>
        <w:t>defined in the JWS specification is "RS256".</w:t>
      </w:r>
    </w:p>
    <w:p w:rsidR="00C46615" w:rsidRDefault="00C46615" w:rsidP="00C46615">
      <w:pPr>
        <w:jc w:val="both"/>
      </w:pPr>
      <w:r>
        <w:t>Issuer keys shall be not less than 2048-bit in length.</w:t>
      </w:r>
    </w:p>
    <w:p w:rsidR="00C46615" w:rsidRDefault="00C46615" w:rsidP="00C46615">
      <w:pPr>
        <w:jc w:val="both"/>
      </w:pPr>
      <w:r>
        <w:t>JWS Protected Header</w:t>
      </w:r>
    </w:p>
    <w:p w:rsidR="00C46615" w:rsidRDefault="00C46615" w:rsidP="00C46615">
      <w:pPr>
        <w:ind w:left="720"/>
        <w:jc w:val="both"/>
      </w:pPr>
      <w:r>
        <w:t>{</w:t>
      </w:r>
    </w:p>
    <w:p w:rsidR="00C46615" w:rsidRDefault="00C46615" w:rsidP="00C46615">
      <w:pPr>
        <w:ind w:left="720"/>
        <w:jc w:val="both"/>
      </w:pPr>
      <w:r>
        <w:t>"</w:t>
      </w:r>
      <w:proofErr w:type="spellStart"/>
      <w:r>
        <w:t>alg</w:t>
      </w:r>
      <w:proofErr w:type="spellEnd"/>
      <w:r>
        <w:t>": "RS256",</w:t>
      </w:r>
    </w:p>
    <w:p w:rsidR="00C46615" w:rsidRDefault="00C46615" w:rsidP="00C46615">
      <w:pPr>
        <w:ind w:left="720"/>
        <w:jc w:val="both"/>
      </w:pPr>
      <w:r>
        <w:t>"</w:t>
      </w:r>
      <w:proofErr w:type="spellStart"/>
      <w:r>
        <w:t>typ</w:t>
      </w:r>
      <w:proofErr w:type="spellEnd"/>
      <w:r>
        <w:t>": "JWT",</w:t>
      </w:r>
    </w:p>
    <w:p w:rsidR="00C46615" w:rsidRDefault="00C46615" w:rsidP="00C46615">
      <w:pPr>
        <w:ind w:left="720"/>
        <w:jc w:val="both"/>
      </w:pPr>
      <w:r>
        <w:t>"x5t": "b9abba343728b7210ed5d52e0b401b73496327fc"</w:t>
      </w:r>
    </w:p>
    <w:p w:rsidR="00C46615" w:rsidRDefault="00C46615" w:rsidP="00C46615">
      <w:pPr>
        <w:ind w:left="720"/>
        <w:jc w:val="both"/>
      </w:pPr>
      <w:r>
        <w:t>}</w:t>
      </w: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Key Identification</w:t>
      </w:r>
    </w:p>
    <w:p w:rsidR="00C46615" w:rsidRDefault="00C46615" w:rsidP="00C46615">
      <w:pPr>
        <w:jc w:val="both"/>
      </w:pPr>
      <w:r>
        <w:t xml:space="preserve">Downstream JWT validators will authenticate the issuing </w:t>
      </w:r>
      <w:proofErr w:type="spellStart"/>
      <w:r>
        <w:t>DFaaS</w:t>
      </w:r>
      <w:proofErr w:type="spellEnd"/>
      <w:r>
        <w:t xml:space="preserve"> Entity (</w:t>
      </w:r>
      <w:proofErr w:type="spellStart"/>
      <w:r>
        <w:t>iss</w:t>
      </w:r>
      <w:proofErr w:type="spellEnd"/>
      <w:r>
        <w:t>) and trust the validity of conveyed claim set by successful JWS signature validation with the issuer's public key.</w:t>
      </w:r>
    </w:p>
    <w:p w:rsidR="00C46615" w:rsidRDefault="00C46615" w:rsidP="00C46615">
      <w:pPr>
        <w:jc w:val="both"/>
      </w:pPr>
      <w:r>
        <w:t>To support operational key lifecycles (e.g. key rotation) a given Issuer entity may have multiple valid keys for a time window necessary to complete rotation.</w:t>
      </w:r>
      <w:r>
        <w:t xml:space="preserve"> </w:t>
      </w:r>
      <w:r>
        <w:t>The validator will select the issuer public key to be used in signature validation by:</w:t>
      </w:r>
    </w:p>
    <w:p w:rsidR="00C46615" w:rsidRDefault="00C46615" w:rsidP="00C46615">
      <w:pPr>
        <w:jc w:val="both"/>
      </w:pPr>
      <w:r>
        <w:t xml:space="preserve">1. Parsing the issuing </w:t>
      </w:r>
      <w:proofErr w:type="spellStart"/>
      <w:r>
        <w:t>DFaaS</w:t>
      </w:r>
      <w:proofErr w:type="spellEnd"/>
      <w:r>
        <w:t xml:space="preserve"> Entity (</w:t>
      </w:r>
      <w:proofErr w:type="spellStart"/>
      <w:r>
        <w:t>iss</w:t>
      </w:r>
      <w:proofErr w:type="spellEnd"/>
      <w:r>
        <w:t xml:space="preserve">) from the </w:t>
      </w:r>
      <w:proofErr w:type="spellStart"/>
      <w:r>
        <w:t>unvalidated</w:t>
      </w:r>
      <w:proofErr w:type="spellEnd"/>
      <w:r>
        <w:t xml:space="preserve"> JWT</w:t>
      </w:r>
    </w:p>
    <w:p w:rsidR="00C46615" w:rsidRDefault="00C46615" w:rsidP="00C46615">
      <w:pPr>
        <w:jc w:val="both"/>
      </w:pPr>
      <w:r>
        <w:t>2. Parsing the public certificate thumbprint (x5t) from the JWS protected header; the thumbprint is the base64 URL-safe encoding of the SHA-1 hash of the public certificate as per RFC</w:t>
      </w:r>
      <w:r>
        <w:t xml:space="preserve"> </w:t>
      </w:r>
      <w:r>
        <w:t xml:space="preserve">7515 and RFC 5280 (and as implemented by standard tools such as </w:t>
      </w:r>
      <w:proofErr w:type="spellStart"/>
      <w:r>
        <w:t>openssl</w:t>
      </w:r>
      <w:proofErr w:type="spellEnd"/>
      <w:r>
        <w:t>)</w:t>
      </w:r>
    </w:p>
    <w:p w:rsidR="00C46615" w:rsidRDefault="00C46615" w:rsidP="00C46615">
      <w:pPr>
        <w:jc w:val="both"/>
      </w:pPr>
      <w:r>
        <w:t xml:space="preserve">3. Obtaining the public certificate (that encloses the public key) by match of public certificate thumbprint AND issuing </w:t>
      </w:r>
      <w:proofErr w:type="spellStart"/>
      <w:r>
        <w:t>DFaaS</w:t>
      </w:r>
      <w:proofErr w:type="spellEnd"/>
      <w:r>
        <w:t xml:space="preserve"> Entity</w:t>
      </w:r>
    </w:p>
    <w:p w:rsidR="00C46615" w:rsidRDefault="00C46615" w:rsidP="00C46615">
      <w:pPr>
        <w:jc w:val="both"/>
      </w:pPr>
      <w:r>
        <w:t>Notes:</w:t>
      </w:r>
    </w:p>
    <w:p w:rsidR="00C46615" w:rsidRDefault="00C46615" w:rsidP="00C46615">
      <w:pPr>
        <w:jc w:val="both"/>
      </w:pPr>
      <w:r>
        <w:lastRenderedPageBreak/>
        <w:t xml:space="preserve">The X.509 certificates for issuing </w:t>
      </w:r>
      <w:proofErr w:type="spellStart"/>
      <w:r>
        <w:t>DFaaS</w:t>
      </w:r>
      <w:proofErr w:type="spellEnd"/>
      <w:r>
        <w:t xml:space="preserve"> Entities shall have the Certificate Subject encoded as the </w:t>
      </w:r>
      <w:proofErr w:type="spellStart"/>
      <w:r>
        <w:t>DFaaS</w:t>
      </w:r>
      <w:proofErr w:type="spellEnd"/>
      <w:r>
        <w:t xml:space="preserve"> Entity distinguished name (allowing match in #3)</w:t>
      </w:r>
    </w:p>
    <w:p w:rsidR="00C46615" w:rsidRDefault="00C46615" w:rsidP="00C46615">
      <w:pPr>
        <w:jc w:val="both"/>
      </w:pPr>
      <w:r>
        <w:t>The public certificate thumbprint is the base64 URL-safe encoding of the SHA-1 hash of the public certificate as per RFC 7515 and RFC 5280 (and as implemented by standard tools</w:t>
      </w:r>
      <w:r>
        <w:t xml:space="preserve"> </w:t>
      </w:r>
      <w:r>
        <w:t xml:space="preserve">such as </w:t>
      </w:r>
      <w:proofErr w:type="spellStart"/>
      <w:r>
        <w:t>openssl</w:t>
      </w:r>
      <w:proofErr w:type="spellEnd"/>
    </w:p>
    <w:p w:rsidR="00C46615" w:rsidRDefault="00C46615" w:rsidP="00C46615">
      <w:pPr>
        <w:jc w:val="both"/>
      </w:pPr>
      <w:r>
        <w:t xml:space="preserve">The source (or provisioning lifecycle) for a validator to retrieve the exact public key necessary to validate the signature (Key </w:t>
      </w:r>
      <w:proofErr w:type="gramStart"/>
      <w:r>
        <w:t>identification )</w:t>
      </w:r>
      <w:proofErr w:type="gramEnd"/>
      <w:r>
        <w:t xml:space="preserve"> is not documented in this specification;</w:t>
      </w:r>
      <w:r>
        <w:t xml:space="preserve"> </w:t>
      </w:r>
      <w:r>
        <w:t xml:space="preserve">however the validator shall in any case select public key by combination of public certificate thumbprint and public certificate subject. The ultimate surety/strength of the </w:t>
      </w:r>
      <w:proofErr w:type="spellStart"/>
      <w:r>
        <w:t>DFaaS</w:t>
      </w:r>
      <w:proofErr w:type="spellEnd"/>
      <w:r>
        <w:t xml:space="preserve"> </w:t>
      </w:r>
      <w:r>
        <w:t>JWT solution is rooted in the authoring and secure distribution process of key material.</w:t>
      </w:r>
    </w:p>
    <w:p w:rsidR="00C46615" w:rsidRDefault="00C46615" w:rsidP="00C46615">
      <w:pPr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DFaaS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JWT Specification</w:t>
      </w:r>
    </w:p>
    <w:p w:rsidR="00C46615" w:rsidRDefault="00C46615" w:rsidP="00C46615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Claim Set</w:t>
      </w:r>
    </w:p>
    <w:p w:rsidR="00C46615" w:rsidRDefault="00C46615" w:rsidP="00C46615">
      <w:pPr>
        <w:jc w:val="both"/>
      </w:pPr>
      <w:r>
        <w:rPr>
          <w:noProof/>
        </w:rPr>
        <w:drawing>
          <wp:inline distT="0" distB="0" distL="0" distR="0" wp14:anchorId="5712FB20" wp14:editId="6D4174B5">
            <wp:extent cx="5943600" cy="582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B" w:rsidRDefault="0027102B" w:rsidP="00C46615">
      <w:pPr>
        <w:jc w:val="both"/>
      </w:pPr>
      <w:r>
        <w:rPr>
          <w:noProof/>
        </w:rPr>
        <w:drawing>
          <wp:inline distT="0" distB="0" distL="0" distR="0" wp14:anchorId="313DEE44" wp14:editId="5E3365D9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B" w:rsidRPr="0027102B" w:rsidRDefault="0027102B" w:rsidP="00C46615">
      <w:pPr>
        <w:jc w:val="both"/>
        <w:rPr>
          <w:rFonts w:ascii="Arial" w:hAnsi="Arial" w:cs="Arial"/>
          <w:color w:val="1B1B1B"/>
          <w:sz w:val="20"/>
          <w:szCs w:val="20"/>
        </w:rPr>
      </w:pPr>
      <w:r w:rsidRPr="0027102B">
        <w:rPr>
          <w:rFonts w:ascii="Arial" w:hAnsi="Arial" w:cs="Arial"/>
          <w:color w:val="1B1B1B"/>
          <w:sz w:val="20"/>
          <w:szCs w:val="20"/>
        </w:rPr>
        <w:t>Conditionally Present</w:t>
      </w:r>
    </w:p>
    <w:p w:rsidR="0027102B" w:rsidRDefault="0027102B" w:rsidP="00C46615">
      <w:pPr>
        <w:jc w:val="both"/>
      </w:pPr>
    </w:p>
    <w:p w:rsidR="0027102B" w:rsidRDefault="0027102B" w:rsidP="00C46615">
      <w:pPr>
        <w:jc w:val="both"/>
      </w:pPr>
      <w:r>
        <w:rPr>
          <w:noProof/>
        </w:rPr>
        <w:lastRenderedPageBreak/>
        <w:drawing>
          <wp:inline distT="0" distB="0" distL="0" distR="0" wp14:anchorId="2E11073C" wp14:editId="5DDFEC86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B" w:rsidRDefault="0027102B" w:rsidP="00C46615">
      <w:pPr>
        <w:jc w:val="both"/>
      </w:pPr>
      <w:r>
        <w:rPr>
          <w:noProof/>
        </w:rPr>
        <w:drawing>
          <wp:inline distT="0" distB="0" distL="0" distR="0" wp14:anchorId="5A1D4256" wp14:editId="4A987CB9">
            <wp:extent cx="5943600" cy="1956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Usage in HTTP Request</w:t>
      </w:r>
    </w:p>
    <w:p w:rsidR="00C46615" w:rsidRDefault="00C46615" w:rsidP="00C46615">
      <w:pPr>
        <w:jc w:val="both"/>
      </w:pPr>
      <w:r>
        <w:t xml:space="preserve">The JWS (and </w:t>
      </w:r>
      <w:proofErr w:type="spellStart"/>
      <w:r>
        <w:t>contianed</w:t>
      </w:r>
      <w:proofErr w:type="spellEnd"/>
      <w:r>
        <w:t xml:space="preserve"> JWT) shall be passed as a request Authorization header (bearer):</w:t>
      </w:r>
    </w:p>
    <w:p w:rsidR="00C46615" w:rsidRDefault="00C46615" w:rsidP="00C46615">
      <w:pPr>
        <w:jc w:val="both"/>
      </w:pPr>
      <w:r>
        <w:t xml:space="preserve">Authorization: </w:t>
      </w:r>
    </w:p>
    <w:p w:rsidR="00C46615" w:rsidRDefault="00C46615" w:rsidP="00C46615">
      <w:pPr>
        <w:jc w:val="both"/>
      </w:pPr>
      <w:r>
        <w:t>Bearer eyJ0eXAiOiJKV1QiLCJhbGciOiJSUzI1NiIsIng1dCI6ImI5YWJiYTM0MzcyOGI3MjEwZWQ1ZDUyZTBiNDAxYjczNDk2MzI3ZmMifQ.eyJpc3MiOiJj</w:t>
      </w: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Claim Set Propagation</w:t>
      </w:r>
    </w:p>
    <w:p w:rsidR="00C46615" w:rsidRDefault="00C46615" w:rsidP="00C46615">
      <w:pPr>
        <w:jc w:val="both"/>
      </w:pPr>
      <w:r>
        <w:t xml:space="preserve">In a multi-participant call chain, e.g. Client A </w:t>
      </w:r>
      <w:proofErr w:type="gramStart"/>
      <w:r>
        <w:t>calls</w:t>
      </w:r>
      <w:proofErr w:type="gramEnd"/>
      <w:r>
        <w:t xml:space="preserve"> Service B which in turn calls Service C, each link in the chain has a new JWT that defines the Client (s-</w:t>
      </w:r>
      <w:proofErr w:type="spellStart"/>
      <w:r>
        <w:t>cid</w:t>
      </w:r>
      <w:proofErr w:type="spellEnd"/>
      <w:r>
        <w:t>), Issuer (</w:t>
      </w:r>
      <w:proofErr w:type="spellStart"/>
      <w:r>
        <w:t>iss</w:t>
      </w:r>
      <w:proofErr w:type="spellEnd"/>
      <w:r>
        <w:t>), and Audience</w:t>
      </w:r>
      <w:r>
        <w:t xml:space="preserve"> </w:t>
      </w:r>
      <w:r>
        <w:t>(</w:t>
      </w:r>
      <w:proofErr w:type="spellStart"/>
      <w:r>
        <w:t>aud</w:t>
      </w:r>
      <w:proofErr w:type="spellEnd"/>
      <w:r>
        <w:t>) of that specific link. When the intent is to propagate the Subject from start to finish in the chain, e.g. a Customer subject, the issuer in each link should copy unmodified (propagate)</w:t>
      </w:r>
      <w:r>
        <w:t xml:space="preserve"> </w:t>
      </w:r>
      <w:r>
        <w:t xml:space="preserve">the claim types marked "Y" in the </w:t>
      </w:r>
      <w:proofErr w:type="spellStart"/>
      <w:r>
        <w:t>propogate</w:t>
      </w:r>
      <w:proofErr w:type="spellEnd"/>
      <w:r>
        <w:t xml:space="preserve"> column.</w:t>
      </w:r>
    </w:p>
    <w:p w:rsidR="00C46615" w:rsidRDefault="00C46615" w:rsidP="00C46615">
      <w:pPr>
        <w:jc w:val="both"/>
      </w:pPr>
      <w:r>
        <w:lastRenderedPageBreak/>
        <w:t>Additionally, each JWT issuer (accept the first link) should propagate the JWT received from its immediate client (in JWS JSON Compact Serialization notation) in the s-</w:t>
      </w:r>
      <w:proofErr w:type="spellStart"/>
      <w:r>
        <w:t>ptok</w:t>
      </w:r>
      <w:proofErr w:type="spellEnd"/>
      <w:r>
        <w:t xml:space="preserve"> claim of the</w:t>
      </w:r>
      <w:r>
        <w:t xml:space="preserve"> </w:t>
      </w:r>
      <w:r>
        <w:t xml:space="preserve">JWT for the next link. For </w:t>
      </w:r>
      <w:proofErr w:type="gramStart"/>
      <w:r>
        <w:t>example</w:t>
      </w:r>
      <w:proofErr w:type="gramEnd"/>
      <w:r>
        <w:t xml:space="preserve"> Service B should include Client A's JWT in the next link to Service C.</w:t>
      </w:r>
    </w:p>
    <w:p w:rsidR="00C46615" w:rsidRDefault="00C46615" w:rsidP="00C46615">
      <w:pPr>
        <w:jc w:val="both"/>
      </w:pPr>
      <w:r>
        <w:t>If a participant downstream in the call chain (based on domain-specific operational trust policy) does not trust the previous chain participants to reliably propagate subject claims, it may</w:t>
      </w:r>
      <w:r>
        <w:t xml:space="preserve"> </w:t>
      </w:r>
      <w:r>
        <w:t xml:space="preserve">choose to </w:t>
      </w:r>
      <w:proofErr w:type="spellStart"/>
      <w:r>
        <w:t>recurse</w:t>
      </w:r>
      <w:proofErr w:type="spellEnd"/>
      <w:r>
        <w:t xml:space="preserve"> the s-</w:t>
      </w:r>
      <w:proofErr w:type="spellStart"/>
      <w:r>
        <w:t>ptok</w:t>
      </w:r>
      <w:proofErr w:type="spellEnd"/>
      <w:r>
        <w:t xml:space="preserve"> claim (a JWS-signed JWT) to selectively validate upstream issuers and upstream claim sets.</w:t>
      </w:r>
    </w:p>
    <w:p w:rsidR="00C46615" w:rsidRDefault="00C46615" w:rsidP="00C46615">
      <w:pPr>
        <w:jc w:val="both"/>
      </w:pPr>
      <w:r>
        <w:t>Note: In target architecture, the desire is to offload (or externalize) issuance, validation, and propagation to a trusted security/IAM provider technology/service. This changes the trust model</w:t>
      </w:r>
      <w:r>
        <w:t xml:space="preserve"> </w:t>
      </w:r>
      <w:r>
        <w:t>cardinality in multi-participant scenarios.</w:t>
      </w:r>
    </w:p>
    <w:p w:rsidR="00C46615" w:rsidRDefault="00C46615" w:rsidP="00C46615">
      <w:pPr>
        <w:jc w:val="both"/>
      </w:pP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t>JWT Identifier and Expiry</w:t>
      </w:r>
    </w:p>
    <w:p w:rsidR="00C46615" w:rsidRDefault="00C46615" w:rsidP="00C46615">
      <w:pPr>
        <w:jc w:val="both"/>
      </w:pPr>
      <w:r>
        <w:t xml:space="preserve">Each JWT shall be identified by a 128-bit universally unique </w:t>
      </w:r>
      <w:proofErr w:type="spellStart"/>
      <w:r>
        <w:t>identifer</w:t>
      </w:r>
      <w:proofErr w:type="spellEnd"/>
      <w:r>
        <w:t xml:space="preserve"> (UUID)</w:t>
      </w:r>
      <w:r>
        <w:t xml:space="preserve">. </w:t>
      </w:r>
      <w:r>
        <w:t>The default time-to-live (TTL) of a JWT shall be +60 seconds from creation</w:t>
      </w:r>
    </w:p>
    <w:p w:rsidR="00C46615" w:rsidRDefault="00C46615" w:rsidP="00C46615">
      <w:pPr>
        <w:jc w:val="both"/>
      </w:pPr>
      <w:r>
        <w:t>General Design assumptions</w:t>
      </w:r>
    </w:p>
    <w:p w:rsidR="00C46615" w:rsidRDefault="00C46615" w:rsidP="00C46615">
      <w:pPr>
        <w:jc w:val="both"/>
      </w:pPr>
      <w:r>
        <w:t>1. Try to use claim names already defined in the JWT community where possible (RFC 7519, OIDC 1.0, etc.) – for SBUX custom private claims use a shorthand prefix (e.g. "s-") to</w:t>
      </w:r>
      <w:r>
        <w:t xml:space="preserve"> </w:t>
      </w:r>
      <w:r>
        <w:t>provide best-effort collision avoidance while avoiding lengthy public name prefixing (e.g. http://www.starbucks.com) and/or formal registration.</w:t>
      </w:r>
    </w:p>
    <w:p w:rsidR="00C46615" w:rsidRDefault="00C46615" w:rsidP="00C46615">
      <w:pPr>
        <w:jc w:val="both"/>
      </w:pPr>
      <w:r>
        <w:t xml:space="preserve">2. Assume tracking items, e.g. </w:t>
      </w:r>
      <w:proofErr w:type="spellStart"/>
      <w:r>
        <w:t>DFaaS</w:t>
      </w:r>
      <w:proofErr w:type="spellEnd"/>
      <w:r>
        <w:t xml:space="preserve"> Correlation ID are not included in the JWT but rather their own protocol-specific headers</w:t>
      </w:r>
    </w:p>
    <w:p w:rsidR="00C46615" w:rsidRDefault="00C46615" w:rsidP="00C46615">
      <w:pPr>
        <w:jc w:val="both"/>
      </w:pPr>
      <w:r>
        <w:t xml:space="preserve">3. The </w:t>
      </w:r>
      <w:proofErr w:type="spellStart"/>
      <w:r>
        <w:t>DFaaS</w:t>
      </w:r>
      <w:proofErr w:type="spellEnd"/>
      <w:r>
        <w:t xml:space="preserve"> JWT and B2C Access Token are separate sets of claims rationalized to respective domain usage and "front end" versus "back end" concerns. SBUX will encode a</w:t>
      </w:r>
      <w:r>
        <w:t xml:space="preserve"> </w:t>
      </w:r>
      <w:r>
        <w:t>mapping between front end and backend claims using policy rules administered centrally.</w:t>
      </w:r>
    </w:p>
    <w:p w:rsidR="00C46615" w:rsidRDefault="00C46615" w:rsidP="00C46615">
      <w:pPr>
        <w:jc w:val="both"/>
      </w:pPr>
      <w:r>
        <w:t>4. Typical subject attributes such as first name, given name, etc. will not be conveyed in the JWT but rather in the business payload or via customer system of record lookup</w:t>
      </w:r>
      <w:r>
        <w:t>.</w:t>
      </w:r>
    </w:p>
    <w:p w:rsidR="00C46615" w:rsidRDefault="00C46615" w:rsidP="00C46615">
      <w:pPr>
        <w:jc w:val="both"/>
      </w:pPr>
      <w:r>
        <w:t xml:space="preserve">5. </w:t>
      </w:r>
      <w:proofErr w:type="spellStart"/>
      <w:r>
        <w:t>DFaaS</w:t>
      </w:r>
      <w:proofErr w:type="spellEnd"/>
      <w:r>
        <w:t xml:space="preserve"> IAM implementation may vary from "target" architecture by phase and by market; thus, no assumption has been made about central issuing authority or end-to-end view of</w:t>
      </w:r>
      <w:r>
        <w:t xml:space="preserve"> </w:t>
      </w:r>
      <w:r>
        <w:t>session context (as might be provided by a security "fabric" capability).</w:t>
      </w:r>
    </w:p>
    <w:p w:rsidR="00C46615" w:rsidRDefault="00C46615" w:rsidP="00C46615">
      <w:pPr>
        <w:jc w:val="both"/>
      </w:pPr>
      <w:r>
        <w:t>6. Attempt to keep number of claims (especially custom claims) to a minimum and to avoid mingling of numerous claim types with complex business logic and process (which may and</w:t>
      </w:r>
      <w:r>
        <w:t xml:space="preserve"> </w:t>
      </w:r>
      <w:r>
        <w:t>will evolve over time).</w:t>
      </w:r>
    </w:p>
    <w:p w:rsidR="00C46615" w:rsidRDefault="00C46615" w:rsidP="00C46615">
      <w:pPr>
        <w:jc w:val="both"/>
      </w:pPr>
      <w:r>
        <w:t>7. Leverage multi-value s-stag as an extensibility mechanism that is flexible to describe the</w:t>
      </w:r>
      <w:r>
        <w:t xml:space="preserve"> </w:t>
      </w:r>
      <w:r>
        <w:t>current subject's context.</w:t>
      </w:r>
    </w:p>
    <w:p w:rsidR="00C46615" w:rsidRDefault="00C46615" w:rsidP="00C46615">
      <w:pPr>
        <w:jc w:val="both"/>
      </w:pPr>
      <w:r>
        <w:t>8. Provide a cloud, stack, and language agnostic mechanism rooted in sound crypto principles</w:t>
      </w:r>
    </w:p>
    <w:p w:rsidR="00C46615" w:rsidRPr="00C46615" w:rsidRDefault="00C46615" w:rsidP="00C46615">
      <w:pPr>
        <w:jc w:val="both"/>
        <w:rPr>
          <w:b/>
        </w:rPr>
      </w:pPr>
      <w:r w:rsidRPr="00C46615">
        <w:rPr>
          <w:b/>
        </w:rPr>
        <w:lastRenderedPageBreak/>
        <w:t>Background and Reference Material</w:t>
      </w:r>
    </w:p>
    <w:p w:rsidR="00C46615" w:rsidRDefault="00C46615" w:rsidP="00C46615">
      <w:pPr>
        <w:jc w:val="both"/>
      </w:pPr>
      <w:r>
        <w:t>Resources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JSON Web Token Standard: RFC 7519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JSON Web Signature Standard: RFC 7515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JSON Web Key Standard: RFC 7517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JSON Web Tokens Claims Registry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Registered Assignments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Authentication Reference Methods Draft IETF standard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Initial Registry Contents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A String Representation of Distinguished Names: RFC 1779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Internet X.509 Public Key Infrastructure</w:t>
      </w:r>
      <w:r>
        <w:t xml:space="preserve"> </w:t>
      </w:r>
      <w:r>
        <w:t>Certificate: RFC 5280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Example from Google IoT</w:t>
      </w:r>
    </w:p>
    <w:p w:rsidR="00C46615" w:rsidRDefault="00C46615" w:rsidP="00C46615">
      <w:pPr>
        <w:pStyle w:val="ListParagraph"/>
        <w:numPr>
          <w:ilvl w:val="0"/>
          <w:numId w:val="1"/>
        </w:numPr>
        <w:jc w:val="both"/>
      </w:pPr>
      <w:r>
        <w:t>Standard Claim Reference</w:t>
      </w:r>
    </w:p>
    <w:p w:rsidR="00C46615" w:rsidRDefault="00C46615" w:rsidP="00C46615">
      <w:pPr>
        <w:jc w:val="both"/>
      </w:pPr>
      <w:r>
        <w:rPr>
          <w:noProof/>
        </w:rPr>
        <w:drawing>
          <wp:inline distT="0" distB="0" distL="0" distR="0" wp14:anchorId="5C805256" wp14:editId="06FF533C">
            <wp:extent cx="5943600" cy="226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2EC"/>
    <w:multiLevelType w:val="hybridMultilevel"/>
    <w:tmpl w:val="843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15"/>
    <w:rsid w:val="0027102B"/>
    <w:rsid w:val="00686451"/>
    <w:rsid w:val="007B18DE"/>
    <w:rsid w:val="00C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6F8F"/>
  <w15:chartTrackingRefBased/>
  <w15:docId w15:val="{28285A8F-1961-4F06-9C18-8ED29F29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Nanchahal (PSP)</dc:creator>
  <cp:keywords/>
  <dc:description/>
  <cp:lastModifiedBy>Harsh Nanchahal (PSP)</cp:lastModifiedBy>
  <cp:revision>1</cp:revision>
  <dcterms:created xsi:type="dcterms:W3CDTF">2018-02-27T18:23:00Z</dcterms:created>
  <dcterms:modified xsi:type="dcterms:W3CDTF">2018-02-27T18:35:00Z</dcterms:modified>
</cp:coreProperties>
</file>