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esign_document_2_2_1_kraft_quoru_424aab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Design Document: 2+2+1 KRaft Quorum Architecture (DC1 + DC2 + GKE Witness)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Status:</w:t>
      </w:r>
      <w:r>
        <w:rPr>
          <w:rFonts w:eastAsia="source serif 4" w:cs="source serif 4" w:ascii="source serif 4" w:hAnsi="source serif 4"/>
          <w:color w:val="000000"/>
        </w:rPr>
        <w:t xml:space="preserve"> Draft for internal review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Scope:</w:t>
      </w:r>
      <w:r>
        <w:rPr>
          <w:rFonts w:eastAsia="source serif 4" w:cs="source serif 4" w:ascii="source serif 4" w:hAnsi="source serif 4"/>
          <w:color w:val="000000"/>
        </w:rPr>
        <w:t xml:space="preserve"> Apache Kafka / Confluent Platform KRaft metadata quorum, deployed across two full data centers plus one lightweight Kubernetes-hosted witness controller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Prepared for:</w:t>
      </w:r>
      <w:r>
        <w:rPr>
          <w:rFonts w:eastAsia="source serif 4" w:cs="source serif 4" w:ascii="source serif 4" w:hAnsi="source serif 4"/>
          <w:color w:val="000000"/>
        </w:rPr>
        <w:t xml:space="preserve"> Internal escalation and architecture sign-off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purpose_and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Purpose and Scope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document specifies the target architecture, network requirements, and validation rules for a </w:t>
      </w:r>
      <w:r>
        <w:rPr>
          <w:rFonts w:eastAsia="source serif 4" w:cs="source serif 4" w:ascii="source serif 4" w:hAnsi="source serif 4"/>
          <w:b/>
          <w:color w:val="000000"/>
        </w:rPr>
        <w:t xml:space="preserve">2+2+1 KRaft controller topology</w:t>
      </w:r>
      <w:r>
        <w:rPr>
          <w:rFonts w:eastAsia="source serif 4" w:cs="source serif 4" w:ascii="source serif 4" w:hAnsi="source serif 4"/>
          <w:color w:val="000000"/>
        </w:rPr>
        <w:t xml:space="preserve">: two full, broker-carrying data centers (</w:t>
      </w:r>
      <w:r>
        <w:rPr>
          <w:rFonts w:eastAsia="source serif 4" w:cs="source serif 4" w:ascii="source serif 4" w:hAnsi="source serif 4"/>
          <w:b/>
          <w:color w:val="000000"/>
        </w:rPr>
        <w:t xml:space="preserve">DC1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Fonts w:eastAsia="source serif 4" w:cs="source serif 4" w:ascii="source serif 4" w:hAnsi="source serif 4"/>
          <w:b/>
          <w:color w:val="000000"/>
        </w:rPr>
        <w:t xml:space="preserve">DC2</w:t>
      </w:r>
      <w:r>
        <w:rPr>
          <w:rFonts w:eastAsia="source serif 4" w:cs="source serif 4" w:ascii="source serif 4" w:hAnsi="source serif 4"/>
          <w:color w:val="000000"/>
        </w:rPr>
        <w:t xml:space="preserve">) plus one minimal, controller-only "0.5" site hosted on Google Kubernetes Engine (</w:t>
      </w:r>
      <w:r>
        <w:rPr>
          <w:rFonts w:eastAsia="source serif 4" w:cs="source serif 4" w:ascii="source serif 4" w:hAnsi="source serif 4"/>
          <w:b/>
          <w:color w:val="000000"/>
        </w:rPr>
        <w:t xml:space="preserve">GKE</w:t>
      </w:r>
      <w:r>
        <w:rPr>
          <w:rFonts w:eastAsia="source serif 4" w:cs="source serif 4" w:ascii="source serif 4" w:hAnsi="source serif 4"/>
          <w:color w:val="000000"/>
        </w:rPr>
        <w:t xml:space="preserve">). It supersedes the earlier "1.5 DC" proposal (single full site + GKE witness only), which does not tolerate the loss of the one full site.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 </w:t>
      </w:r>
      <w:r>
        <w:rPr>
          <w:rFonts w:eastAsia="source serif 4" w:cs="source serif 4" w:ascii="source serif 4" w:hAnsi="source serif 4"/>
          <w:b/>
          <w:color w:val="000000"/>
        </w:rPr>
        <w:t xml:space="preserve">controller/metadata-quorum design</w:t>
      </w:r>
      <w:r>
        <w:rPr>
          <w:rFonts w:eastAsia="source serif 4" w:cs="source serif 4" w:ascii="source serif 4" w:hAnsi="source serif 4"/>
          <w:color w:val="000000"/>
        </w:rPr>
        <w:t xml:space="preserve">, not a full data-plane disaster-recovery design. Section 9 explicitly separates the two concerns.</w:t>
      </w:r>
    </w:p>
    <w:p>
      <w:pPr>
        <w:spacing w:line="360" w:before="315" w:after="105" w:lineRule="auto"/>
        <w:ind w:left="-30"/>
        <w:jc w:val="left"/>
      </w:pPr>
      <w:bookmarkStart w:id="2" w:name="bm_2_problem_stat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Problem Statement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starting constraint was: only two physical/cloud locations are available (an on-premises site and a GCP/GKE footprint), and the initial proposal placed all Kafka brokers in a single on-premises site with a lightweight controller in GKE. That design ("1.5 DC") solves nothing for a full-site outage: losing the only broker-carrying site removes both the data and the controller majority (2 of 3 remaining in GKE alone is a minority).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corrected requirement is the topology Confluent documents natively for KRaft: </w:t>
      </w:r>
      <w:r>
        <w:rPr>
          <w:rFonts w:eastAsia="source serif 4" w:cs="source serif 4" w:ascii="source serif 4" w:hAnsi="source serif 4"/>
          <w:b/>
          <w:color w:val="000000"/>
        </w:rPr>
        <w:t xml:space="preserve">two full sites with equal broker and controller counts, plus a third minimal site that participates only in the controller quorum</w:t>
      </w:r>
      <w:r>
        <w:rPr>
          <w:rFonts w:eastAsia="source serif 4" w:cs="source serif 4" w:ascii="source serif 4" w:hAnsi="source serif 4"/>
          <w:color w:val="000000"/>
        </w:rPr>
        <w:t xml:space="preserve"> (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Multi-Region Architectures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 This requires provisioning an actual second full site (DC2) — the GKE footprint alone cannot substitute for it.</w:t>
      </w:r>
    </w:p>
    <w:p>
      <w:pPr>
        <w:spacing w:line="360" w:before="315" w:after="105" w:lineRule="auto"/>
        <w:ind w:left="-30"/>
        <w:jc w:val="left"/>
      </w:pPr>
      <w:bookmarkStart w:id="3" w:name="bm_3_proposed_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Proposed Architecture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KRaft controllers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Brokers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DC1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 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 — full replica 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DC2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 site (to be provisioned/confirmed)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 — full replica count, equal to DC1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GKE (Site 0.5)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Controller-only, no data plane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Total controller quorum: </w:t>
      </w:r>
      <w:r>
        <w:rPr>
          <w:rFonts w:eastAsia="source serif 4" w:cs="source serif 4" w:ascii="source serif 4" w:hAnsi="source serif 4"/>
          <w:b/>
          <w:color w:val="000000"/>
        </w:rPr>
        <w:t xml:space="preserve">5 voters</w:t>
      </w:r>
      <w:r>
        <w:rPr>
          <w:rFonts w:eastAsia="source serif 4" w:cs="source serif 4" w:ascii="source serif 4" w:hAnsi="source serif 4"/>
          <w:color w:val="000000"/>
        </w:rPr>
        <w:t xml:space="preserve">, majority = </w:t>
      </w:r>
      <w:r>
        <w:rPr>
          <w:rFonts w:eastAsia="source serif 4" w:cs="source serif 4" w:ascii="source serif 4" w:hAnsi="source serif 4"/>
          <w:b/>
          <w:color w:val="000000"/>
        </w:rPr>
        <w:t xml:space="preserve">3</w:t>
      </w:r>
      <w:r>
        <w:rPr>
          <w:rFonts w:eastAsia="source serif 4" w:cs="source serif 4" w:ascii="source serif 4" w:hAnsi="source serif 4"/>
          <w:color w:val="000000"/>
        </w:rPr>
        <w:t xml:space="preserve">. This is the reference 5-node pattern Confluent documents for the 2.5 DC model (</w:t>
      </w:r>
      <w:hyperlink r:id="rId6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Multi-Region Architectures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; </w:t>
      </w:r>
      <w:hyperlink r:id="rId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Multi-Region Clusters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 Confluent's own documentation does not use the term "voter" or "witness" for the fifth node — it is described simply as a controller node without a broker role, participating in the same Raft quorum as the others.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Open item:</w:t>
      </w:r>
      <w:r>
        <w:rPr>
          <w:rFonts w:eastAsia="source serif 4" w:cs="source serif 4" w:ascii="source serif 4" w:hAnsi="source serif 4"/>
          <w:color w:val="000000"/>
        </w:rPr>
        <w:t xml:space="preserve"> DC2's physical location is not yet defined in this proposal. It must be an independent power and network domain from DC1 (otherwise the "two full sites" premise collapses back into a single-site risk).</w:t>
      </w:r>
    </w:p>
    <w:p>
      <w:pPr>
        <w:spacing w:line="360" w:before="315" w:after="105" w:lineRule="auto"/>
        <w:ind w:left="-30"/>
        <w:jc w:val="left"/>
      </w:pPr>
      <w:bookmarkStart w:id="4" w:name="bm_4_quorum_math_and_failure_scenari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Quorum Math and Failure Scenarios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Voters remaining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Quorum status (majority = 3 of 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Data-plane impact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Normal operation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 of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DC1 lost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 of 5 (2×DC2 + 1×GKE)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Depends on broker replication factor — see Section 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DC2 lost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 of 5 (2×DC1 + 1×GKE)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Same, mirrored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GKE (0.5) lost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 of 5 (2×DC1 + 2×DC2)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None — GKE never carries broker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DC1 + GKE lost simultaneously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of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Fails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manual intervention 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Outage or degraded, depending on DC2-only capacity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DC2 + GKE lost simultaneously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of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Fails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manual intervention 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Same, mirrored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defining property of 2+2+1 versus a plain 2-DC layout is that </w:t>
      </w:r>
      <w:r>
        <w:rPr>
          <w:rFonts w:eastAsia="source serif 4" w:cs="source serif 4" w:ascii="source serif 4" w:hAnsi="source serif 4"/>
          <w:b/>
          <w:color w:val="000000"/>
        </w:rPr>
        <w:t xml:space="preserve">losing any single site — including either full DC — still leaves a controller majority</w:t>
      </w:r>
      <w:r>
        <w:rPr>
          <w:rFonts w:eastAsia="source serif 4" w:cs="source serif 4" w:ascii="source serif 4" w:hAnsi="source serif 4"/>
          <w:color w:val="000000"/>
        </w:rPr>
        <w:t xml:space="preserve">. This is the specific failure mode the original 1.5 DC proposal did not cover.</w:t>
      </w:r>
    </w:p>
    <w:p>
      <w:pPr>
        <w:spacing w:line="360" w:before="315" w:after="105" w:lineRule="auto"/>
        <w:ind w:left="-30"/>
        <w:jc w:val="left"/>
      </w:pPr>
      <w:bookmarkStart w:id="5" w:name="bm_5_network_requirements_on_boun_68c60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Network Requirements on Boundary Connections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Traffic carried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RTT 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Bandwidth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Connectivity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DC1 ↔ DC2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Broker data replication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acks=all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 + controller Raft traffic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Ideally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&lt; 50 ms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hard ceiling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&lt; 100 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 — scales with produce/replication throughput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Dedicated private circuit (leased line, dark fiber, or equivalent), redundant physical path recommended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AutoMQ — Kafka Stretch Clusters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</w:t>
            </w:r>
            <w:hyperlink r:id="rId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Confluent — Multi-Region Architectures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DC1 ↔ GKE (0.5)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Controller-only Raft traffic (heartbeats, metadata log replication), port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9074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Hard ceiling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&lt; 100 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 — small control-plane traffic only, no broker data crosses this 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Dedicated/Partner Interconnect, not public internet or shared VPN; mTLS mandatory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Confluent — Multi-Region Architectures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</w:t>
            </w:r>
            <w:hyperlink r:id="rId11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GCP — Networking for hybrid and multi-cloud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</w:t>
            </w:r>
            <w:hyperlink r:id="rId1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Confluent — Configure Dynamic KRaft Quorum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DC2 ↔ GKE (0.5)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 as DC1 ↔ GKE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Hard ceiling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&lt; 100 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 as above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Reference values for context (not requirements, background only):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Rook-Ceph's stretch-cluster pattern recommends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&lt; 10 ms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storage replication between its two main sites — a stricter analogue, not a Kafka-specific figure (</w:t>
      </w: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OneUptime — Rook-Ceph stretch cluster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the same Kubernetes control plane (etcd) were ever stretched across sites instead of keeping per-site clusters, Red Hat requires etcd peer RTT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&lt; 100 ms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explicitly advises against this pattern for production (</w:t>
      </w: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Red Hat — Guidance for clusters that span data centers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 This project does not stretch the Kubernetes control plane (see Section 6, Option A).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If GKE's Hong Kong region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asia-east2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is used for Site 0.5, GCP's own inter-region VM-to-VM measurements from Hong Kong were: Taiwan 18.4 ms, Singapore 35.0 ms, Tokyo 48.4 ms (</w:t>
      </w: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iKala — GCP Hong Kong region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Caveat: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these are GCP-internal VM-to-VM figures from 2018, not on-premises-to-GCP measurements — actual RTT from DC1/DC2 to the chosen GCP region must be measured independently before committing to a region.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single link per pair is a single point of failure for that boundary — a redundant physical path per connection is recommended, particularly for DC1↔DC2 given it carries data-plane traffic.</w:t>
      </w:r>
    </w:p>
    <w:p>
      <w:pPr>
        <w:spacing w:line="360" w:before="315" w:after="105" w:lineRule="auto"/>
        <w:ind w:left="-30"/>
        <w:jc w:val="left"/>
      </w:pPr>
      <w:bookmarkStart w:id="6" w:name="bm_6_kubernetes_implementation_op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Kubernetes Implementation Options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Two implementation patterns exist; pick one explicitly.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 — Three independent Kubernetes clusters (recommended)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small/independent K8s cluster per site; each runs its own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KRaftController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resource; controllers from different clusters join one Raft ensemble over the network. This is the pattern Confluent for Kubernetes (CFK) implements natively for Multi-Region Clusters, and it requires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at least three separate Kubernetes clusters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Confluent for Kubernetes — Multi-Region Deployment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</w:t>
            </w:r>
            <w:hyperlink r:id="rId1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Confluent Kubernetes Examples — hybrid multi-region-clusters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 — One Kubernetes cluster stretched across all three sites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Single K8s control plane (etcd) spans DC1, DC2, and GKE; topology enforced via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topology.kubernetes.io/zone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labels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topologySpreadConstraints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podAntiAffinity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 This is the Rook-Ceph stretch-cluster pattern.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Kubernetes — Topology Spread Constraints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</w:t>
            </w:r>
            <w:hyperlink r:id="rId1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OneUptime — Rook-Ceph stretch cluster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Recommendation: Option A.</w:t>
      </w:r>
      <w:r>
        <w:rPr>
          <w:rFonts w:eastAsia="source serif 4" w:cs="source serif 4" w:ascii="source serif 4" w:hAnsi="source serif 4"/>
          <w:color w:val="000000"/>
        </w:rPr>
        <w:t xml:space="preserve"> Red Hat explicitly advises against stretching a single Kubernetes control plane across data centers in production — doing so turns three independent failure domains into one stretched domain and is not a substitute for a real DR plan (</w:t>
      </w:r>
      <w:hyperlink r:id="rId2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Red Hat — Guidance for clusters that span data centers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 Keeping Kubernetes control planes per-site and letting </w:t>
      </w:r>
      <w:r>
        <w:rPr>
          <w:rFonts w:eastAsia="source serif 4" w:cs="source serif 4" w:ascii="source serif 4" w:hAnsi="source serif 4"/>
          <w:b/>
          <w:color w:val="000000"/>
        </w:rPr>
        <w:t xml:space="preserve">KRaft alone</w:t>
      </w:r>
      <w:r>
        <w:rPr>
          <w:rFonts w:eastAsia="source serif 4" w:cs="source serif 4" w:ascii="source serif 4" w:hAnsi="source serif 4"/>
          <w:color w:val="000000"/>
        </w:rPr>
        <w:t xml:space="preserve"> own the quorum decision matches the CFK-native pattern and avoids that risk.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Documented gap:</w:t>
      </w:r>
      <w:r>
        <w:rPr>
          <w:rFonts w:eastAsia="source serif 4" w:cs="source serif 4" w:ascii="source serif 4" w:hAnsi="source serif 4"/>
          <w:color w:val="000000"/>
        </w:rPr>
        <w:t xml:space="preserve"> no vendor source in this research (Confluent, CFK, AutoMQ) specifies a minimum infrastructure footprint for Site 0.5 — e.g., whether a single-node cluster is sufficient versus a full HA control plane. The conclusion below is an inference from the Rook-Ceph arbiter pattern, not a confirmed Confluent/CFK requirement: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Site 0.5 likely does not need a highly-available Kubernetes control plane of its own; a minimal (even single-node) cluster is consistent with how Rook-Ceph treats its arbiter node — one additional node, no storage/broker role (</w:t>
      </w:r>
      <w:hyperlink r:id="rId2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OneUptime — Rook-Ceph stretch cluster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7" w:name="bm_7_gke_specific_configuration_f_23225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GKE-Specific Configuration for Site 0.5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Recommendation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Node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Standard node pool,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never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Spot/Preemptible VMs — Spot VMs have no availability guarantee and reclamation is not covered by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PodDisruptionBudget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losing the witness controller at a random moment (potentially during a real DC outage) defeats the 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2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GCP — Spot VMs in GKE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Cluster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GKE Standard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not Autopilot — Autopilot is regional-by-default and spreads across 3 zones automatically with limited control over node pool/machine type; the witness controller needs a pinned node pool, zone, taints/tolerations for deterministic placement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GCP — Autopilot vs Standard feature comparison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Persistent Disk SSD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pd-ssd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 for the metadata log — avoid higher-latency network storage classes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Inferred from general KRaft I/O requirements; not independently sourced in this research 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Region choice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Trade-off between lowest latency (same city as DC1/DC2, e.g.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asia-east2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if on-prem is in Hong Kong) versus geographic independence (e.g. Taiwan/Singapore, still under the 100 ms ceiling)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4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iKala — GCP Hong Kong region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Connectivity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Dedicated/Partner Interconnect; example topology with 4 connections across 2 metro areas reaches 99.99% SLA; HA VPN is a cheaper fallback but its jitter/stability for Raft traffic should be validated before 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GCP — Networking for hybrid and multi-cloud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Load balancing / DNS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GKE has native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LoadBalancer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support; on-premises sites may need MetalLB or equivalent; controller addresses must resolve across all three sites via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external-dns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or equivalent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Confluent for Kubernetes — Multi-Region Deployment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mTLS between controllers/brokers across sites is effectively mandatory since traffic crosses a public cloud provider boundary; restrict firewall rules for port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9074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replication ports to the Interconnect/VPN IP ranges only, never open internet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Confluent for Kubernetes documentation for the mTLS point; firewall scoping is a general security best practice, not independently sourced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8_confluent_cfk_version_requireme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Confluent/CFK Version Requirements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Dynamic KRaft quorum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Confluent Platform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7.9+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recommended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7.9.6+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CFK operator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3.2 or newer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Greenfield Multi-Region Cluster deployments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7.9.6+, 8.0.5+, 8.1.2+, or 8.2.1+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Auto-Join Quorum (simplifies adding/promoting controllers)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8.2+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Cross-cluster listener advertisement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listeners.advertisedListenersEnabled: true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Required on CFK ≥ 3.2 for multi-Kubernetes-cluster deployments — otherwise the KRaft leader advertises an internal endpoint unreachable from controllers in other clusters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Known defective patch versions — do not deploy: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7.9.0–7.9.5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8.0.4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8.1.1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8.2.0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Source: </w:t>
      </w:r>
      <w:hyperlink r:id="rId27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— Configure Dynamic KRaft Quorum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; CFK multi-region configuration details from </w:t>
      </w:r>
      <w:hyperlink r:id="rId28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for Kubernetes — Multi-Region Deployment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Additional CFK identity requirements for a multi-cluster KRaft ensemble: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single, identical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clusterID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must be set explicitly across all three Kubernetes clusters — CFK generates a unique ID per cluster by default, which breaks quorum formation if left unset.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nodeId = platform.confluent.io/broker-id-offset + podId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with a distinct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broker-id-offset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annotation per site to avoid ID collisions.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Source: </w:t>
      </w:r>
      <w:hyperlink r:id="rId29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Confluent for Kubernetes — Multi-Region Deployment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9" w:name="bm_9_data_plane_considerations_se_f0a81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Data-Plane Considerations (Separate from Controller Quorum)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Controller quorum health and broker data availability are </w:t>
      </w:r>
      <w:r>
        <w:rPr>
          <w:rFonts w:eastAsia="source serif 4" w:cs="source serif 4" w:ascii="source serif 4" w:hAnsi="source serif 4"/>
          <w:b/>
          <w:color w:val="000000"/>
        </w:rPr>
        <w:t xml:space="preserve">independent guarantees</w:t>
      </w:r>
      <w:r>
        <w:rPr>
          <w:rFonts w:eastAsia="source serif 4" w:cs="source serif 4" w:ascii="source serif 4" w:hAnsi="source serif 4"/>
          <w:color w:val="000000"/>
        </w:rPr>
        <w:t xml:space="preserve">. Achieving 2+2+1 controller resilience does </w:t>
      </w:r>
      <w:r>
        <w:rPr>
          <w:rFonts w:eastAsia="source serif 4" w:cs="source serif 4" w:ascii="source serif 4" w:hAnsi="source serif 4"/>
          <w:b/>
          <w:color w:val="000000"/>
        </w:rPr>
        <w:t xml:space="preserve">not</w:t>
      </w:r>
      <w:r>
        <w:rPr>
          <w:rFonts w:eastAsia="source serif 4" w:cs="source serif 4" w:ascii="source serif 4" w:hAnsi="source serif 4"/>
          <w:color w:val="000000"/>
        </w:rPr>
        <w:t xml:space="preserve"> automatically make broker data resilient to a full-site loss — that depends entirely on topic replication factor and placement.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an equivalent </w:t>
      </w:r>
      <w:r>
        <w:rPr>
          <w:rFonts w:eastAsia="source serif 4" w:cs="source serif 4" w:ascii="source serif 4" w:hAnsi="source serif 4"/>
          <w:b/>
          <w:color w:val="000000"/>
        </w:rPr>
        <w:t xml:space="preserve">RPO = 0 on the data plane</w:t>
      </w:r>
      <w:r>
        <w:rPr>
          <w:rFonts w:eastAsia="source serif 4" w:cs="source serif 4" w:ascii="source serif 4" w:hAnsi="source serif 4"/>
          <w:color w:val="000000"/>
        </w:rPr>
        <w:t xml:space="preserve">, Confluent/SoftwareMill document an observer-based pattern: 2 synchronous replicas in each of DC1/DC2 plus an observer,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min.insync.replicas = 3</w:t>
      </w:r>
      <w:r>
        <w:rPr>
          <w:rFonts w:eastAsia="source serif 4" w:cs="source serif 4" w:ascii="source serif 4" w:hAnsi="source serif 4"/>
          <w:color w:val="000000"/>
        </w:rPr>
        <w:t xml:space="preserve">, with synchronous replication between the two full sites (</w:t>
      </w:r>
      <w:hyperlink r:id="rId3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SoftwareMill — ISR/RF in Confluent stretched cluster 2.5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). This is a separate configuration decision from controller placement — an organization could in principle have RPO = 0 on data while accepting non-zero RPO on metadata, or vice versa, depending on how replication is configured.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Recommendation for the escalation:</w:t>
      </w:r>
      <w:r>
        <w:rPr>
          <w:rFonts w:eastAsia="source serif 4" w:cs="source serif 4" w:ascii="source serif 4" w:hAnsi="source serif 4"/>
          <w:color w:val="000000"/>
        </w:rPr>
        <w:t xml:space="preserve"> state explicitly that the 2+2+1 controller topology alone does not guarantee zero data loss or continued broker availability on a full-DC outage unless replication factor is also configured to span DC1 and DC2.</w:t>
      </w:r>
    </w:p>
    <w:p>
      <w:pPr>
        <w:spacing w:line="360" w:before="315" w:after="105" w:lineRule="auto"/>
        <w:ind w:left="-30"/>
        <w:jc w:val="left"/>
      </w:pPr>
      <w:bookmarkStart w:id="10" w:name="bm_10_pre_production_validation_ru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Pre-Production Validation Rules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Validation rule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Topology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DC2 is provisioned as an independent power/network domain from DC1 (not a second room in the same facility)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Topology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2 controllers in DC1, 2 in DC2, 1 in GKE — total 5 voters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Topology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equal broker replica counts in DC1 and DC2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Measure actual RTT DC1↔DC2 from real infrastructure; confirm &lt; 50 ms target, hard fail above 100 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Measure actual RTT DC1↔GKE and DC2↔GKE from real infrastructure; hard fail above 100 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all three inter-site links use dedicated/private connectivity (Interconnect or equivalent), not public internet or shared VPN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redundant physical path exists for DC1↔DC2 at minimum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Kubernetes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Option A (3 independent K8s clusters) is implemented, not a single stretched control plane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Kubernetes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GKE node pool for Site 0.5 uses Standard mode, non-Spot/non-Preemptible VMs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Kubernetes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pd-ssd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storage class is used for the GKE controller's metadata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Configuration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identical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clusterID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across all three Kubernetes clusters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Configuration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distinct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broker-id-offset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per site, no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nodeId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collisions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Configuration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listeners.advertisedListenersEnabled: true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set on all CFK-managed controllers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Confluent Platform ≥ 7.9.6 (or another version from the greenfield MRC list) and CFK ≥ 3.2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none of the defective patch versions (7.9.0–7.9.5, 8.0.4, 8.1.1, 8.2.0) are in 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mTLS is enforced on all cross-site controller/broker traffic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firewall rules restrict port 9074 and replication ports to Interconnect/VPN IP ranges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 plane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topic replication factor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min.insync.replicas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configuration explicitly for the desired data-loss tolerance (this is independent of controller quorum, see Section 9)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Simulate loss of DC1, loss of DC2, and loss of GKE independently; confirm quorum behavior matches Section 4 in each 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Simulate loss of the DC1↔GKE and DC2↔GKE links independently; confirm no unexpected quorum loss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 quorum-state visibility spans all three sites (e.g., Prometheus federation or a dedicated exporter) with alerting on hybrid-link flapping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bm_11_open_items_and_documentation_ga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Open Items and Documentation Gaps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following points are explicitly flagged as inferred or unconfirmed, not vendor-guaranteed: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Confluent/CFK source specifies a minimum Kubernetes footprint for Site 0.5 (Section 6).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Persistent Disk SSD recommendation for the metadata log (Section 7) is inferred from general KRaft I/O sensitivity, not independently sourced in this research pass.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Firewall scoping recommendation (Section 7, Section 10 rule 17) is a general security best practice, not a vendor-documented requirement.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GCP Hong Kong latency figures (Section 5) are 2018 GCP-internal VM-to-VM measurements, not on-premises-to-GCP measurements — must be re-measured against real infrastructure before any region commitment.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DC2's physical location is not yet defined in this proposal (Section 3) and must be confirmed before network requirements can be validated against real circuits.</w:t>
      </w:r>
    </w:p>
    <w:p>
      <w:pPr>
        <w:spacing w:line="360" w:before="315" w:after="105" w:lineRule="auto"/>
        <w:ind w:left="-30"/>
        <w:jc w:val="left"/>
      </w:pPr>
      <w:bookmarkStart w:id="12" w:name="bm_12_recommendations_summ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Recommendations Summary</w:t>
      </w:r>
      <w:bookmarkEnd w:id="12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Provision DC2 as a genuine second full site — equal brokers and 2 controllers, independent power/network domain from DC1.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Deploy the fifth controller as a controller-only node in GKE (Site 0.5), no brokers.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three independent Kubernetes clusters (Option A), not a stretched control plane.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Enforce RTT ceilings: &lt; 50 ms ideal / &lt; 100 ms hard limit for DC1↔DC2; &lt; 100 ms hard limit for each leg to GKE.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dedicated/private connectivity for all three inter-site links, with mTLS and firewall scoping.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GKE Standard (not Autopilot), non-Spot node pools,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pd-ssd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storage for the witness controller.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Standardize on Confluent Platform ≥ 7.9.6 / CFK ≥ 3.2 with dynamic quorum, avoiding the listed defective patch versions.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Configure broker replication factor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min.insync.replicas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independently to achieve the desired data-plane RPO — do not conflate this with controller quorum resilience.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 explicit failure-injection tests for each single-site and single-link loss scenario before go-live.</w:t>
      </w:r>
    </w:p>
    <w:p>
      <w:pPr>
        <w:spacing w:line="360" w:before="315" w:after="105" w:lineRule="auto"/>
        <w:ind w:left="-30"/>
        <w:jc w:val="left"/>
      </w:pPr>
      <w:bookmarkStart w:id="13" w:name="sour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Sources</w:t>
      </w:r>
      <w:bookmarkEnd w:id="13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— Multi-Region Architectures: </w:t>
      </w:r>
      <w:hyperlink r:id="rId3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https://docs.confluent.io/platform/current/multi-dc-deployments/multi-region-architectures.html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— Multi-Region Clusters: </w:t>
      </w:r>
      <w:hyperlink r:id="rId3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https://docs.confluent.io/platform/current/multi-dc-deployments/multi-region.html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SoftwareMill — Understanding In-Sync Replicas and Replication Factor in Confluent Stretched Cluster 2.5: </w:t>
      </w:r>
      <w:hyperlink r:id="rId3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https://softwaremill.com/understanding-in-sync-replicas-and-replication-factor-in-confluent-stretched-cluster-2-5/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AutoMQ — Kafka Stretch Clusters Explained: A Deep Dive into Multi-Datacenter Architecture: </w:t>
      </w:r>
      <w:hyperlink r:id="rId3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https://www.automq.com/blog/kafka-stretch-clusters-multi-datacenter-architecture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OneUptime — How to Deploy a Rook-Ceph Stretch Cluster Across Two Datacenters: </w:t>
      </w:r>
      <w:hyperlink r:id="rId3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https://oneuptime.com/blog/post/2026-03-31-rook-deploy-stretch-cluster-two-datacenters/view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for Kubernetes — Configure Multi-Region Deployment of Confluent Platform: </w:t>
      </w:r>
      <w:hyperlink r:id="rId3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https://docs.confluent.io/operator/current/co-multi-region.html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Kubernetes Examples (GitHub) — Hybrid Multi-Region Clusters README: </w:t>
      </w:r>
      <w:hyperlink r:id="rId3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https://github.com/confluentinc/confluent-kubernetes-examples/blob/master/hybrid/multi-region-clusters/README.md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Red Hat — Guidance for Clusters That Span Data Centers (etcd, OpenShift 4.22): </w:t>
      </w:r>
      <w:hyperlink r:id="rId3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https://docs.redhat.com/en/documentation/openshift_container_platform/4.22/html/etcd/etcd-guidance-span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Kubernetes Documentation — Pod Topology Spread Constraints: </w:t>
      </w:r>
      <w:hyperlink r:id="rId3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https://kubernetes.io/docs/concepts/scheduling-eviction/topology-spread-constraints/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iKala — GCP Hong Kong Region (asia-east2) Latency Measurements: </w:t>
      </w:r>
      <w:hyperlink r:id="rId4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https://ikala.cloud/blog/infrastructure/gcp-hk-region-asia-east-2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Google Cloud — Spot VMs in GKE: </w:t>
      </w:r>
      <w:hyperlink r:id="rId4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https://docs.cloud.google.com/kubernetes-engine/docs/concepts/spot-vms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Google Cloud — Autopilot and Standard Feature Comparison: </w:t>
      </w:r>
      <w:hyperlink r:id="rId4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https://docs.cloud.google.com/kubernetes-engine/docs/resources/autopilot-standard-feature-comparison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Google Cloud — Networking for Hybrid and Multi-Cloud Workloads: </w:t>
      </w:r>
      <w:hyperlink r:id="rId4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https://docs.cloud.google.com/architecture/network-hybrid-multicloud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Confluent — Configure Dynamic KRaft Quorum: </w:t>
      </w:r>
      <w:hyperlink r:id="rId4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https://docs.confluent.io/operator/current/co-configure-kraft-dynamic-quorum.html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ocs.confluent.io/platform/current/multi-dc-deployments/multi-region-architectures.html" TargetMode="External"/><Relationship Id="rId6" Type="http://schemas.openxmlformats.org/officeDocument/2006/relationships/hyperlink" Target="https://docs.confluent.io/platform/current/multi-dc-deployments/multi-region-architectures.html" TargetMode="External"/><Relationship Id="rId7" Type="http://schemas.openxmlformats.org/officeDocument/2006/relationships/hyperlink" Target="https://docs.confluent.io/platform/current/multi-dc-deployments/multi-region.html" TargetMode="External"/><Relationship Id="rId8" Type="http://schemas.openxmlformats.org/officeDocument/2006/relationships/hyperlink" Target="https://www.automq.com/blog/kafka-stretch-clusters-multi-datacenter-architecture" TargetMode="External"/><Relationship Id="rId9" Type="http://schemas.openxmlformats.org/officeDocument/2006/relationships/hyperlink" Target="https://docs.confluent.io/platform/current/multi-dc-deployments/multi-region-architectures.html" TargetMode="External"/><Relationship Id="rId10" Type="http://schemas.openxmlformats.org/officeDocument/2006/relationships/hyperlink" Target="https://docs.confluent.io/platform/current/multi-dc-deployments/multi-region-architectures.html" TargetMode="External"/><Relationship Id="rId11" Type="http://schemas.openxmlformats.org/officeDocument/2006/relationships/hyperlink" Target="https://docs.cloud.google.com/architecture/network-hybrid-multicloud" TargetMode="External"/><Relationship Id="rId12" Type="http://schemas.openxmlformats.org/officeDocument/2006/relationships/hyperlink" Target="https://docs.confluent.io/operator/current/co-configure-kraft-dynamic-quorum.html" TargetMode="External"/><Relationship Id="rId13" Type="http://schemas.openxmlformats.org/officeDocument/2006/relationships/hyperlink" Target="https://oneuptime.com/blog/post/2026-03-31-rook-deploy-stretch-cluster-two-datacenters/view" TargetMode="External"/><Relationship Id="rId14" Type="http://schemas.openxmlformats.org/officeDocument/2006/relationships/hyperlink" Target="https://docs.redhat.com/en/documentation/openshift_container_platform/4.22/html/etcd/etcd-guidance-span" TargetMode="External"/><Relationship Id="rId15" Type="http://schemas.openxmlformats.org/officeDocument/2006/relationships/hyperlink" Target="https://ikala.cloud/blog/infrastructure/gcp-hk-region-asia-east-2" TargetMode="External"/><Relationship Id="rId16" Type="http://schemas.openxmlformats.org/officeDocument/2006/relationships/hyperlink" Target="https://docs.confluent.io/operator/current/co-multi-region.html" TargetMode="External"/><Relationship Id="rId17" Type="http://schemas.openxmlformats.org/officeDocument/2006/relationships/hyperlink" Target="https://github.com/confluentinc/confluent-kubernetes-examples/blob/master/hybrid/multi-region-clusters/README.md" TargetMode="External"/><Relationship Id="rId18" Type="http://schemas.openxmlformats.org/officeDocument/2006/relationships/hyperlink" Target="https://kubernetes.io/docs/concepts/scheduling-eviction/topology-spread-constraints/" TargetMode="External"/><Relationship Id="rId19" Type="http://schemas.openxmlformats.org/officeDocument/2006/relationships/hyperlink" Target="https://oneuptime.com/blog/post/2026-03-31-rook-deploy-stretch-cluster-two-datacenters/view" TargetMode="External"/><Relationship Id="rId20" Type="http://schemas.openxmlformats.org/officeDocument/2006/relationships/hyperlink" Target="https://docs.redhat.com/en/documentation/openshift_container_platform/4.22/html/etcd/etcd-guidance-span" TargetMode="External"/><Relationship Id="rId21" Type="http://schemas.openxmlformats.org/officeDocument/2006/relationships/hyperlink" Target="https://oneuptime.com/blog/post/2026-03-31-rook-deploy-stretch-cluster-two-datacenters/view" TargetMode="External"/><Relationship Id="rId22" Type="http://schemas.openxmlformats.org/officeDocument/2006/relationships/hyperlink" Target="https://docs.cloud.google.com/kubernetes-engine/docs/concepts/spot-vms" TargetMode="External"/><Relationship Id="rId23" Type="http://schemas.openxmlformats.org/officeDocument/2006/relationships/hyperlink" Target="https://docs.cloud.google.com/kubernetes-engine/docs/resources/autopilot-standard-feature-comparison" TargetMode="External"/><Relationship Id="rId24" Type="http://schemas.openxmlformats.org/officeDocument/2006/relationships/hyperlink" Target="https://ikala.cloud/blog/infrastructure/gcp-hk-region-asia-east-2" TargetMode="External"/><Relationship Id="rId25" Type="http://schemas.openxmlformats.org/officeDocument/2006/relationships/hyperlink" Target="https://docs.cloud.google.com/architecture/network-hybrid-multicloud" TargetMode="External"/><Relationship Id="rId26" Type="http://schemas.openxmlformats.org/officeDocument/2006/relationships/hyperlink" Target="https://docs.confluent.io/operator/current/co-multi-region.html" TargetMode="External"/><Relationship Id="rId27" Type="http://schemas.openxmlformats.org/officeDocument/2006/relationships/hyperlink" Target="https://docs.confluent.io/operator/current/co-configure-kraft-dynamic-quorum.html" TargetMode="External"/><Relationship Id="rId28" Type="http://schemas.openxmlformats.org/officeDocument/2006/relationships/hyperlink" Target="https://docs.confluent.io/operator/current/co-multi-region.html" TargetMode="External"/><Relationship Id="rId29" Type="http://schemas.openxmlformats.org/officeDocument/2006/relationships/hyperlink" Target="https://docs.confluent.io/operator/current/co-multi-region.html" TargetMode="External"/><Relationship Id="rId30" Type="http://schemas.openxmlformats.org/officeDocument/2006/relationships/hyperlink" Target="https://softwaremill.com/understanding-in-sync-replicas-and-replication-factor-in-confluent-stretched-cluster-2-5/" TargetMode="External"/><Relationship Id="rId31" Type="http://schemas.openxmlformats.org/officeDocument/2006/relationships/hyperlink" Target="https://docs.confluent.io/platform/current/multi-dc-deployments/multi-region-architectures.html" TargetMode="External"/><Relationship Id="rId32" Type="http://schemas.openxmlformats.org/officeDocument/2006/relationships/hyperlink" Target="https://docs.confluent.io/platform/current/multi-dc-deployments/multi-region.html" TargetMode="External"/><Relationship Id="rId33" Type="http://schemas.openxmlformats.org/officeDocument/2006/relationships/hyperlink" Target="https://softwaremill.com/understanding-in-sync-replicas-and-replication-factor-in-confluent-stretched-cluster-2-5/" TargetMode="External"/><Relationship Id="rId34" Type="http://schemas.openxmlformats.org/officeDocument/2006/relationships/hyperlink" Target="https://www.automq.com/blog/kafka-stretch-clusters-multi-datacenter-architecture" TargetMode="External"/><Relationship Id="rId35" Type="http://schemas.openxmlformats.org/officeDocument/2006/relationships/hyperlink" Target="https://oneuptime.com/blog/post/2026-03-31-rook-deploy-stretch-cluster-two-datacenters/view" TargetMode="External"/><Relationship Id="rId36" Type="http://schemas.openxmlformats.org/officeDocument/2006/relationships/hyperlink" Target="https://docs.confluent.io/operator/current/co-multi-region.html" TargetMode="External"/><Relationship Id="rId37" Type="http://schemas.openxmlformats.org/officeDocument/2006/relationships/hyperlink" Target="https://github.com/confluentinc/confluent-kubernetes-examples/blob/master/hybrid/multi-region-clusters/README.md" TargetMode="External"/><Relationship Id="rId38" Type="http://schemas.openxmlformats.org/officeDocument/2006/relationships/hyperlink" Target="https://docs.redhat.com/en/documentation/openshift_container_platform/4.22/html/etcd/etcd-guidance-span" TargetMode="External"/><Relationship Id="rId39" Type="http://schemas.openxmlformats.org/officeDocument/2006/relationships/hyperlink" Target="https://kubernetes.io/docs/concepts/scheduling-eviction/topology-spread-constraints/" TargetMode="External"/><Relationship Id="rId40" Type="http://schemas.openxmlformats.org/officeDocument/2006/relationships/hyperlink" Target="https://ikala.cloud/blog/infrastructure/gcp-hk-region-asia-east-2" TargetMode="External"/><Relationship Id="rId41" Type="http://schemas.openxmlformats.org/officeDocument/2006/relationships/hyperlink" Target="https://docs.cloud.google.com/kubernetes-engine/docs/concepts/spot-vms" TargetMode="External"/><Relationship Id="rId42" Type="http://schemas.openxmlformats.org/officeDocument/2006/relationships/hyperlink" Target="https://docs.cloud.google.com/kubernetes-engine/docs/resources/autopilot-standard-feature-comparison" TargetMode="External"/><Relationship Id="rId43" Type="http://schemas.openxmlformats.org/officeDocument/2006/relationships/hyperlink" Target="https://docs.cloud.google.com/architecture/network-hybrid-multicloud" TargetMode="External"/><Relationship Id="rId44" Type="http://schemas.openxmlformats.org/officeDocument/2006/relationships/hyperlink" Target="https://docs.confluent.io/operator/current/co-configure-kraft-dynamic-quorum.html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2026-09-07T13:11:20.685Z</dcterms:created>
  <dcterms:modified xsi:type="dcterms:W3CDTF">2026-09-07T13:11:20.685Z</dcterms:modified>
</cp:coreProperties>
</file>