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3BF1" w:rsidRDefault="002E3BF1" w:rsidP="002E3BF1">
      <w:pPr>
        <w:pStyle w:val="Heading6"/>
        <w:tabs>
          <w:tab w:val="left" w:pos="861"/>
        </w:tabs>
        <w:spacing w:before="89"/>
      </w:pPr>
      <w:bookmarkStart w:id="0" w:name="B/4.4_Quality_Check_of_Evidences_Collect"/>
      <w:bookmarkStart w:id="1" w:name="_bookmark34"/>
      <w:bookmarkEnd w:id="0"/>
      <w:bookmarkEnd w:id="1"/>
      <w:r>
        <w:t>Quality</w:t>
      </w:r>
      <w:r>
        <w:rPr>
          <w:spacing w:val="-1"/>
        </w:rPr>
        <w:t xml:space="preserve"> </w:t>
      </w:r>
      <w:r>
        <w:t>Checklist of Evidence Collection</w:t>
      </w:r>
    </w:p>
    <w:p w:rsidR="002E3BF1" w:rsidRDefault="002E3BF1" w:rsidP="002E3BF1">
      <w:pPr>
        <w:pStyle w:val="BodyText"/>
        <w:spacing w:before="5"/>
        <w:rPr>
          <w:rFonts w:ascii="Arial"/>
          <w:b/>
          <w:sz w:val="24"/>
        </w:rPr>
      </w:pPr>
    </w:p>
    <w:p w:rsidR="002E3BF1" w:rsidRDefault="002E3BF1" w:rsidP="002E3BF1">
      <w:pPr>
        <w:pStyle w:val="BodyText"/>
        <w:spacing w:before="5"/>
        <w:rPr>
          <w:rFonts w:ascii="Arial"/>
          <w:b/>
          <w:sz w:val="19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5"/>
        <w:gridCol w:w="4299"/>
        <w:gridCol w:w="2815"/>
      </w:tblGrid>
      <w:tr w:rsidR="002E3BF1" w:rsidTr="007D46D1">
        <w:trPr>
          <w:trHeight w:val="414"/>
        </w:trPr>
        <w:tc>
          <w:tcPr>
            <w:tcW w:w="6554" w:type="dxa"/>
            <w:gridSpan w:val="2"/>
            <w:vMerge w:val="restart"/>
          </w:tcPr>
          <w:p w:rsidR="002E3BF1" w:rsidRDefault="002E3BF1" w:rsidP="007D46D1">
            <w:pPr>
              <w:pStyle w:val="TableParagraph"/>
              <w:spacing w:before="68"/>
              <w:ind w:left="107"/>
            </w:pPr>
            <w:r>
              <w:t>Assignment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2815" w:type="dxa"/>
          </w:tcPr>
          <w:p w:rsidR="002E3BF1" w:rsidRDefault="002E3BF1" w:rsidP="007D46D1">
            <w:pPr>
              <w:pStyle w:val="TableParagraph"/>
              <w:spacing w:before="68"/>
              <w:ind w:left="106"/>
            </w:pPr>
            <w:r>
              <w:t>Assignment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2E3BF1" w:rsidTr="007D46D1">
        <w:trPr>
          <w:trHeight w:val="380"/>
        </w:trPr>
        <w:tc>
          <w:tcPr>
            <w:tcW w:w="6554" w:type="dxa"/>
            <w:gridSpan w:val="2"/>
            <w:vMerge/>
            <w:tcBorders>
              <w:top w:val="nil"/>
            </w:tcBorders>
          </w:tcPr>
          <w:p w:rsidR="002E3BF1" w:rsidRDefault="002E3BF1" w:rsidP="007D46D1">
            <w:pPr>
              <w:rPr>
                <w:sz w:val="2"/>
                <w:szCs w:val="2"/>
              </w:rPr>
            </w:pPr>
          </w:p>
        </w:tc>
        <w:tc>
          <w:tcPr>
            <w:tcW w:w="2815" w:type="dxa"/>
          </w:tcPr>
          <w:p w:rsidR="002E3BF1" w:rsidRDefault="002E3BF1" w:rsidP="007D46D1">
            <w:pPr>
              <w:pStyle w:val="TableParagraph"/>
              <w:spacing w:before="68"/>
              <w:ind w:left="106"/>
            </w:pPr>
            <w:r>
              <w:t>Engagement Manager</w:t>
            </w:r>
          </w:p>
        </w:tc>
      </w:tr>
      <w:tr w:rsidR="002E3BF1" w:rsidTr="007D46D1">
        <w:trPr>
          <w:trHeight w:val="435"/>
        </w:trPr>
        <w:tc>
          <w:tcPr>
            <w:tcW w:w="2255" w:type="dxa"/>
          </w:tcPr>
          <w:p w:rsidR="002E3BF1" w:rsidRDefault="002E3BF1" w:rsidP="007D46D1">
            <w:pPr>
              <w:pStyle w:val="TableParagraph"/>
              <w:spacing w:before="68"/>
              <w:ind w:left="107"/>
            </w:pPr>
            <w:r>
              <w:t>Company</w:t>
            </w:r>
            <w:r>
              <w:rPr>
                <w:spacing w:val="1"/>
              </w:rPr>
              <w:t xml:space="preserve"> </w:t>
            </w:r>
            <w:r>
              <w:t>Name</w:t>
            </w:r>
          </w:p>
        </w:tc>
        <w:tc>
          <w:tcPr>
            <w:tcW w:w="7114" w:type="dxa"/>
            <w:gridSpan w:val="2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2E3BF1" w:rsidRDefault="002E3BF1" w:rsidP="002E3BF1">
      <w:pPr>
        <w:pStyle w:val="BodyText"/>
        <w:rPr>
          <w:rFonts w:ascii="Arial"/>
          <w:b/>
          <w:sz w:val="20"/>
        </w:rPr>
      </w:pPr>
    </w:p>
    <w:p w:rsidR="002E3BF1" w:rsidRDefault="002E3BF1" w:rsidP="002E3BF1">
      <w:pPr>
        <w:pStyle w:val="BodyText"/>
        <w:spacing w:before="11"/>
        <w:rPr>
          <w:rFonts w:ascii="Arial"/>
          <w:b/>
          <w:sz w:val="12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2010"/>
        <w:gridCol w:w="1284"/>
        <w:gridCol w:w="1312"/>
        <w:gridCol w:w="1286"/>
        <w:gridCol w:w="1459"/>
        <w:gridCol w:w="1307"/>
      </w:tblGrid>
      <w:tr w:rsidR="002E3BF1" w:rsidTr="007D46D1">
        <w:trPr>
          <w:trHeight w:val="900"/>
        </w:trPr>
        <w:tc>
          <w:tcPr>
            <w:tcW w:w="719" w:type="dxa"/>
            <w:shd w:val="clear" w:color="auto" w:fill="595959"/>
          </w:tcPr>
          <w:p w:rsidR="002E3BF1" w:rsidRDefault="002E3BF1" w:rsidP="007D46D1">
            <w:pPr>
              <w:pStyle w:val="TableParagraph"/>
              <w:spacing w:before="195" w:line="247" w:lineRule="auto"/>
              <w:ind w:left="212" w:right="117" w:hanging="68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color w:val="FFFFFF"/>
              </w:rPr>
              <w:t>Obs</w:t>
            </w:r>
            <w:proofErr w:type="spellEnd"/>
            <w:r>
              <w:rPr>
                <w:rFonts w:ascii="Arial"/>
                <w:b/>
                <w:color w:val="FFFFFF"/>
                <w:spacing w:val="-5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No</w:t>
            </w:r>
          </w:p>
        </w:tc>
        <w:tc>
          <w:tcPr>
            <w:tcW w:w="2010" w:type="dxa"/>
            <w:shd w:val="clear" w:color="auto" w:fill="595959"/>
          </w:tcPr>
          <w:p w:rsidR="002E3BF1" w:rsidRDefault="002E3BF1" w:rsidP="007D46D1">
            <w:pPr>
              <w:pStyle w:val="TableParagraph"/>
              <w:spacing w:before="195" w:line="247" w:lineRule="auto"/>
              <w:ind w:left="754" w:right="335" w:hanging="393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Observation</w:t>
            </w:r>
            <w:r>
              <w:rPr>
                <w:rFonts w:ascii="Arial"/>
                <w:b/>
                <w:color w:val="FFFFFF"/>
                <w:spacing w:val="-60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Brief</w:t>
            </w:r>
          </w:p>
        </w:tc>
        <w:tc>
          <w:tcPr>
            <w:tcW w:w="1284" w:type="dxa"/>
            <w:shd w:val="clear" w:color="auto" w:fill="595959"/>
          </w:tcPr>
          <w:p w:rsidR="002E3BF1" w:rsidRDefault="002E3BF1" w:rsidP="007D46D1">
            <w:pPr>
              <w:pStyle w:val="TableParagraph"/>
              <w:spacing w:before="66" w:line="247" w:lineRule="auto"/>
              <w:ind w:left="146" w:right="136" w:firstLine="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Work</w:t>
            </w:r>
            <w:r>
              <w:rPr>
                <w:rFonts w:ascii="Arial"/>
                <w:b/>
                <w:color w:val="FFFFFF"/>
                <w:spacing w:val="1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Papers</w:t>
            </w:r>
            <w:r>
              <w:rPr>
                <w:rFonts w:ascii="Arial"/>
                <w:b/>
                <w:color w:val="FFFFFF"/>
                <w:spacing w:val="1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Collected</w:t>
            </w:r>
          </w:p>
        </w:tc>
        <w:tc>
          <w:tcPr>
            <w:tcW w:w="1312" w:type="dxa"/>
            <w:shd w:val="clear" w:color="auto" w:fill="595959"/>
          </w:tcPr>
          <w:p w:rsidR="002E3BF1" w:rsidRDefault="002E3BF1" w:rsidP="007D46D1">
            <w:pPr>
              <w:pStyle w:val="TableParagraph"/>
              <w:spacing w:before="3"/>
              <w:rPr>
                <w:rFonts w:ascii="Arial"/>
                <w:b/>
                <w:sz w:val="28"/>
              </w:rPr>
            </w:pPr>
          </w:p>
          <w:p w:rsidR="002E3BF1" w:rsidRDefault="002E3BF1" w:rsidP="007D46D1">
            <w:pPr>
              <w:pStyle w:val="TableParagraph"/>
              <w:ind w:left="144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Accurate</w:t>
            </w:r>
            <w:r>
              <w:rPr>
                <w:rFonts w:ascii="Arial"/>
                <w:b/>
                <w:color w:val="FFFFFF"/>
                <w:vertAlign w:val="superscript"/>
              </w:rPr>
              <w:t>8</w:t>
            </w:r>
          </w:p>
        </w:tc>
        <w:tc>
          <w:tcPr>
            <w:tcW w:w="1286" w:type="dxa"/>
            <w:shd w:val="clear" w:color="auto" w:fill="595959"/>
          </w:tcPr>
          <w:p w:rsidR="002E3BF1" w:rsidRDefault="002E3BF1" w:rsidP="007D46D1">
            <w:pPr>
              <w:pStyle w:val="TableParagraph"/>
              <w:spacing w:before="3"/>
              <w:rPr>
                <w:rFonts w:ascii="Arial"/>
                <w:b/>
                <w:sz w:val="28"/>
              </w:rPr>
            </w:pPr>
          </w:p>
          <w:p w:rsidR="002E3BF1" w:rsidRDefault="002E3BF1" w:rsidP="007D46D1">
            <w:pPr>
              <w:pStyle w:val="TableParagraph"/>
              <w:ind w:left="144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Relevant</w:t>
            </w:r>
            <w:r>
              <w:rPr>
                <w:rFonts w:ascii="Arial"/>
                <w:b/>
                <w:color w:val="FFFFFF"/>
                <w:vertAlign w:val="superscript"/>
              </w:rPr>
              <w:t>9</w:t>
            </w:r>
          </w:p>
        </w:tc>
        <w:tc>
          <w:tcPr>
            <w:tcW w:w="1459" w:type="dxa"/>
            <w:shd w:val="clear" w:color="auto" w:fill="595959"/>
          </w:tcPr>
          <w:p w:rsidR="002E3BF1" w:rsidRDefault="002E3BF1" w:rsidP="007D46D1">
            <w:pPr>
              <w:pStyle w:val="TableParagraph"/>
              <w:spacing w:before="3"/>
              <w:rPr>
                <w:rFonts w:ascii="Arial"/>
                <w:b/>
                <w:sz w:val="28"/>
              </w:rPr>
            </w:pPr>
          </w:p>
          <w:p w:rsidR="002E3BF1" w:rsidRDefault="002E3BF1" w:rsidP="007D46D1">
            <w:pPr>
              <w:pStyle w:val="TableParagraph"/>
              <w:ind w:left="148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Complete</w:t>
            </w:r>
            <w:r>
              <w:rPr>
                <w:rFonts w:ascii="Arial"/>
                <w:b/>
                <w:color w:val="FFFFFF"/>
                <w:vertAlign w:val="superscript"/>
              </w:rPr>
              <w:t>10</w:t>
            </w:r>
          </w:p>
        </w:tc>
        <w:tc>
          <w:tcPr>
            <w:tcW w:w="1307" w:type="dxa"/>
            <w:shd w:val="clear" w:color="auto" w:fill="595959"/>
          </w:tcPr>
          <w:p w:rsidR="002E3BF1" w:rsidRDefault="002E3BF1" w:rsidP="007D46D1">
            <w:pPr>
              <w:pStyle w:val="TableParagraph"/>
              <w:spacing w:before="3"/>
              <w:rPr>
                <w:rFonts w:ascii="Arial"/>
                <w:b/>
                <w:sz w:val="28"/>
              </w:rPr>
            </w:pPr>
          </w:p>
          <w:p w:rsidR="002E3BF1" w:rsidRDefault="002E3BF1" w:rsidP="007D46D1">
            <w:pPr>
              <w:pStyle w:val="TableParagraph"/>
              <w:ind w:left="142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Annexure</w:t>
            </w:r>
          </w:p>
        </w:tc>
      </w:tr>
      <w:tr w:rsidR="002E3BF1" w:rsidTr="007D46D1">
        <w:trPr>
          <w:trHeight w:val="380"/>
        </w:trPr>
        <w:tc>
          <w:tcPr>
            <w:tcW w:w="719" w:type="dxa"/>
            <w:shd w:val="clear" w:color="auto" w:fill="E6E6E6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0" w:type="dxa"/>
            <w:shd w:val="clear" w:color="auto" w:fill="E6E6E6"/>
          </w:tcPr>
          <w:p w:rsidR="002E3BF1" w:rsidRDefault="002E3BF1" w:rsidP="007D46D1">
            <w:pPr>
              <w:pStyle w:val="TableParagraph"/>
              <w:spacing w:before="66"/>
              <w:ind w:left="107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Area:</w:t>
            </w:r>
          </w:p>
        </w:tc>
        <w:tc>
          <w:tcPr>
            <w:tcW w:w="1284" w:type="dxa"/>
            <w:shd w:val="clear" w:color="auto" w:fill="E6E6E6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2" w:type="dxa"/>
            <w:shd w:val="clear" w:color="auto" w:fill="E6E6E6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6" w:type="dxa"/>
            <w:shd w:val="clear" w:color="auto" w:fill="E6E6E6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9" w:type="dxa"/>
            <w:shd w:val="clear" w:color="auto" w:fill="E6E6E6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7" w:type="dxa"/>
            <w:shd w:val="clear" w:color="auto" w:fill="E6E6E6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3BF1" w:rsidTr="007D46D1">
        <w:trPr>
          <w:trHeight w:val="380"/>
        </w:trPr>
        <w:tc>
          <w:tcPr>
            <w:tcW w:w="719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0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4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2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6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9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7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3BF1" w:rsidTr="007D46D1">
        <w:trPr>
          <w:trHeight w:val="380"/>
        </w:trPr>
        <w:tc>
          <w:tcPr>
            <w:tcW w:w="719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0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4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2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6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9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7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3BF1" w:rsidTr="007D46D1">
        <w:trPr>
          <w:trHeight w:val="380"/>
        </w:trPr>
        <w:tc>
          <w:tcPr>
            <w:tcW w:w="719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0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4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2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6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9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7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3BF1" w:rsidTr="007D46D1">
        <w:trPr>
          <w:trHeight w:val="380"/>
        </w:trPr>
        <w:tc>
          <w:tcPr>
            <w:tcW w:w="719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0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4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2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6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9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7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3BF1" w:rsidTr="007D46D1">
        <w:trPr>
          <w:trHeight w:val="380"/>
        </w:trPr>
        <w:tc>
          <w:tcPr>
            <w:tcW w:w="719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0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4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2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6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9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7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3BF1" w:rsidTr="007D46D1">
        <w:trPr>
          <w:trHeight w:val="380"/>
        </w:trPr>
        <w:tc>
          <w:tcPr>
            <w:tcW w:w="719" w:type="dxa"/>
            <w:shd w:val="clear" w:color="auto" w:fill="E6E6E6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0" w:type="dxa"/>
            <w:shd w:val="clear" w:color="auto" w:fill="E6E6E6"/>
          </w:tcPr>
          <w:p w:rsidR="002E3BF1" w:rsidRDefault="002E3BF1" w:rsidP="007D46D1">
            <w:pPr>
              <w:pStyle w:val="TableParagraph"/>
              <w:spacing w:before="66"/>
              <w:ind w:left="107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Area:</w:t>
            </w:r>
          </w:p>
        </w:tc>
        <w:tc>
          <w:tcPr>
            <w:tcW w:w="1284" w:type="dxa"/>
            <w:shd w:val="clear" w:color="auto" w:fill="E6E6E6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2" w:type="dxa"/>
            <w:shd w:val="clear" w:color="auto" w:fill="E6E6E6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6" w:type="dxa"/>
            <w:shd w:val="clear" w:color="auto" w:fill="E6E6E6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9" w:type="dxa"/>
            <w:shd w:val="clear" w:color="auto" w:fill="E6E6E6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7" w:type="dxa"/>
            <w:shd w:val="clear" w:color="auto" w:fill="E6E6E6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3BF1" w:rsidTr="007D46D1">
        <w:trPr>
          <w:trHeight w:val="380"/>
        </w:trPr>
        <w:tc>
          <w:tcPr>
            <w:tcW w:w="719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0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4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2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6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9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7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3BF1" w:rsidTr="007D46D1">
        <w:trPr>
          <w:trHeight w:val="380"/>
        </w:trPr>
        <w:tc>
          <w:tcPr>
            <w:tcW w:w="719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0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4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2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6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9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7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3BF1" w:rsidTr="007D46D1">
        <w:trPr>
          <w:trHeight w:val="380"/>
        </w:trPr>
        <w:tc>
          <w:tcPr>
            <w:tcW w:w="719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0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4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2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6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9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7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3BF1" w:rsidTr="007D46D1">
        <w:trPr>
          <w:trHeight w:val="380"/>
        </w:trPr>
        <w:tc>
          <w:tcPr>
            <w:tcW w:w="719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0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4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2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6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9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7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3BF1" w:rsidTr="007D46D1">
        <w:trPr>
          <w:trHeight w:val="380"/>
        </w:trPr>
        <w:tc>
          <w:tcPr>
            <w:tcW w:w="719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0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4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2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6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9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7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3BF1" w:rsidTr="007D46D1">
        <w:trPr>
          <w:trHeight w:val="380"/>
        </w:trPr>
        <w:tc>
          <w:tcPr>
            <w:tcW w:w="719" w:type="dxa"/>
            <w:shd w:val="clear" w:color="auto" w:fill="E6E6E6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0" w:type="dxa"/>
            <w:shd w:val="clear" w:color="auto" w:fill="E6E6E6"/>
          </w:tcPr>
          <w:p w:rsidR="002E3BF1" w:rsidRDefault="002E3BF1" w:rsidP="007D46D1">
            <w:pPr>
              <w:pStyle w:val="TableParagraph"/>
              <w:spacing w:before="66"/>
              <w:ind w:left="107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Area:</w:t>
            </w:r>
          </w:p>
        </w:tc>
        <w:tc>
          <w:tcPr>
            <w:tcW w:w="1284" w:type="dxa"/>
            <w:shd w:val="clear" w:color="auto" w:fill="E6E6E6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2" w:type="dxa"/>
            <w:shd w:val="clear" w:color="auto" w:fill="E6E6E6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6" w:type="dxa"/>
            <w:shd w:val="clear" w:color="auto" w:fill="E6E6E6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9" w:type="dxa"/>
            <w:shd w:val="clear" w:color="auto" w:fill="E6E6E6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7" w:type="dxa"/>
            <w:shd w:val="clear" w:color="auto" w:fill="E6E6E6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3BF1" w:rsidTr="007D46D1">
        <w:trPr>
          <w:trHeight w:val="380"/>
        </w:trPr>
        <w:tc>
          <w:tcPr>
            <w:tcW w:w="719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0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4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2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6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9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7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3BF1" w:rsidTr="007D46D1">
        <w:trPr>
          <w:trHeight w:val="379"/>
        </w:trPr>
        <w:tc>
          <w:tcPr>
            <w:tcW w:w="719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0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4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2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6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9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7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3BF1" w:rsidTr="007D46D1">
        <w:trPr>
          <w:trHeight w:val="380"/>
        </w:trPr>
        <w:tc>
          <w:tcPr>
            <w:tcW w:w="719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0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4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2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6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9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7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3BF1" w:rsidTr="007D46D1">
        <w:trPr>
          <w:trHeight w:val="380"/>
        </w:trPr>
        <w:tc>
          <w:tcPr>
            <w:tcW w:w="719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0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4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2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6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9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7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3BF1" w:rsidTr="007D46D1">
        <w:trPr>
          <w:trHeight w:val="380"/>
        </w:trPr>
        <w:tc>
          <w:tcPr>
            <w:tcW w:w="719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0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4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2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6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9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7" w:type="dxa"/>
          </w:tcPr>
          <w:p w:rsidR="002E3BF1" w:rsidRDefault="002E3B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2E3BF1" w:rsidRDefault="002E3BF1" w:rsidP="002E3BF1">
      <w:pPr>
        <w:pStyle w:val="BodyText"/>
        <w:rPr>
          <w:rFonts w:ascii="Arial"/>
          <w:b/>
          <w:sz w:val="20"/>
        </w:rPr>
      </w:pPr>
    </w:p>
    <w:p w:rsidR="002E3BF1" w:rsidRDefault="002E3BF1" w:rsidP="002E3BF1">
      <w:pPr>
        <w:pStyle w:val="BodyText"/>
        <w:rPr>
          <w:rFonts w:ascii="Arial"/>
          <w:b/>
          <w:sz w:val="20"/>
        </w:rPr>
      </w:pPr>
    </w:p>
    <w:p w:rsidR="002E3BF1" w:rsidRDefault="002E3BF1" w:rsidP="002E3BF1">
      <w:pPr>
        <w:pStyle w:val="BodyText"/>
        <w:spacing w:before="6"/>
        <w:rPr>
          <w:rFonts w:ascii="Arial"/>
          <w:b/>
          <w:sz w:val="21"/>
        </w:rPr>
      </w:pPr>
    </w:p>
    <w:p w:rsidR="002E3BF1" w:rsidRDefault="002E3BF1" w:rsidP="002E3BF1">
      <w:pPr>
        <w:pStyle w:val="BodyText"/>
        <w:tabs>
          <w:tab w:val="left" w:pos="8272"/>
        </w:tabs>
        <w:ind w:left="140"/>
      </w:pPr>
      <w:r>
        <w:t>Prepared</w:t>
      </w:r>
      <w:r>
        <w:rPr>
          <w:spacing w:val="2"/>
        </w:rPr>
        <w:t xml:space="preserve"> </w:t>
      </w:r>
      <w:r>
        <w:t>by</w:t>
      </w:r>
      <w:r>
        <w:tab/>
        <w:t>Check by</w:t>
      </w:r>
    </w:p>
    <w:p w:rsidR="002E3BF1" w:rsidRDefault="002E3BF1" w:rsidP="002E3BF1">
      <w:pPr>
        <w:pStyle w:val="BodyText"/>
        <w:rPr>
          <w:sz w:val="20"/>
        </w:rPr>
      </w:pPr>
    </w:p>
    <w:p w:rsidR="002E3BF1" w:rsidRDefault="002E3BF1" w:rsidP="002E3BF1">
      <w:pPr>
        <w:pStyle w:val="BodyText"/>
        <w:spacing w:before="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DA9D634" wp14:editId="478B4E20">
                <wp:simplePos x="0" y="0"/>
                <wp:positionH relativeFrom="page">
                  <wp:posOffset>914400</wp:posOffset>
                </wp:positionH>
                <wp:positionV relativeFrom="paragraph">
                  <wp:posOffset>217170</wp:posOffset>
                </wp:positionV>
                <wp:extent cx="1828800" cy="7620"/>
                <wp:effectExtent l="0" t="0" r="0" b="0"/>
                <wp:wrapTopAndBottom/>
                <wp:docPr id="619" name="Rectangle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584DE2" id="Rectangle 574" o:spid="_x0000_s1026" style="position:absolute;margin-left:1in;margin-top:17.1pt;width:2in;height:.6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:rsidR="002E3BF1" w:rsidRDefault="002E3BF1" w:rsidP="002E3BF1">
      <w:pPr>
        <w:spacing w:before="77"/>
        <w:ind w:left="140"/>
        <w:rPr>
          <w:sz w:val="18"/>
        </w:rPr>
      </w:pPr>
      <w:r>
        <w:rPr>
          <w:sz w:val="18"/>
          <w:vertAlign w:val="superscript"/>
        </w:rPr>
        <w:t>8</w:t>
      </w:r>
      <w:r>
        <w:rPr>
          <w:spacing w:val="3"/>
          <w:sz w:val="18"/>
        </w:rPr>
        <w:t xml:space="preserve"> </w:t>
      </w:r>
      <w:r>
        <w:rPr>
          <w:sz w:val="18"/>
        </w:rPr>
        <w:t>Accuracy</w:t>
      </w:r>
      <w:r>
        <w:rPr>
          <w:spacing w:val="1"/>
          <w:sz w:val="18"/>
        </w:rPr>
        <w:t xml:space="preserve"> </w:t>
      </w:r>
      <w:r>
        <w:rPr>
          <w:sz w:val="18"/>
        </w:rPr>
        <w:t>–</w:t>
      </w:r>
      <w:r>
        <w:rPr>
          <w:spacing w:val="2"/>
          <w:sz w:val="18"/>
        </w:rPr>
        <w:t xml:space="preserve"> </w:t>
      </w:r>
      <w:r>
        <w:rPr>
          <w:sz w:val="18"/>
        </w:rPr>
        <w:t>Evidence</w:t>
      </w:r>
      <w:r>
        <w:rPr>
          <w:spacing w:val="2"/>
          <w:sz w:val="18"/>
        </w:rPr>
        <w:t xml:space="preserve"> </w:t>
      </w:r>
      <w:r>
        <w:rPr>
          <w:sz w:val="18"/>
        </w:rPr>
        <w:t>accurately confirms</w:t>
      </w:r>
      <w:r>
        <w:rPr>
          <w:spacing w:val="2"/>
          <w:sz w:val="18"/>
        </w:rPr>
        <w:t xml:space="preserve"> </w:t>
      </w:r>
      <w:r>
        <w:rPr>
          <w:sz w:val="18"/>
        </w:rPr>
        <w:t>the</w:t>
      </w:r>
      <w:r>
        <w:rPr>
          <w:spacing w:val="2"/>
          <w:sz w:val="18"/>
        </w:rPr>
        <w:t xml:space="preserve"> </w:t>
      </w:r>
      <w:r>
        <w:rPr>
          <w:sz w:val="18"/>
        </w:rPr>
        <w:t>observation</w:t>
      </w:r>
      <w:r>
        <w:rPr>
          <w:spacing w:val="2"/>
          <w:sz w:val="18"/>
        </w:rPr>
        <w:t xml:space="preserve"> </w:t>
      </w:r>
      <w:r>
        <w:rPr>
          <w:sz w:val="18"/>
        </w:rPr>
        <w:t>without</w:t>
      </w:r>
      <w:r>
        <w:rPr>
          <w:spacing w:val="2"/>
          <w:sz w:val="18"/>
        </w:rPr>
        <w:t xml:space="preserve"> </w:t>
      </w:r>
      <w:r>
        <w:rPr>
          <w:sz w:val="18"/>
        </w:rPr>
        <w:t>ambiguity.</w:t>
      </w:r>
    </w:p>
    <w:p w:rsidR="002E3BF1" w:rsidRDefault="002E3BF1" w:rsidP="002E3BF1">
      <w:pPr>
        <w:spacing w:before="3" w:line="244" w:lineRule="auto"/>
        <w:ind w:left="140" w:hanging="1"/>
        <w:rPr>
          <w:sz w:val="18"/>
        </w:rPr>
      </w:pPr>
      <w:r>
        <w:rPr>
          <w:spacing w:val="-1"/>
          <w:w w:val="105"/>
          <w:sz w:val="18"/>
          <w:vertAlign w:val="superscript"/>
        </w:rPr>
        <w:t>9</w:t>
      </w:r>
      <w:r>
        <w:rPr>
          <w:spacing w:val="-1"/>
          <w:w w:val="105"/>
          <w:sz w:val="18"/>
        </w:rPr>
        <w:t xml:space="preserve"> Relevant </w:t>
      </w:r>
      <w:r>
        <w:rPr>
          <w:spacing w:val="-1"/>
          <w:w w:val="125"/>
          <w:sz w:val="18"/>
        </w:rPr>
        <w:t xml:space="preserve">– </w:t>
      </w:r>
      <w:r>
        <w:rPr>
          <w:spacing w:val="-1"/>
          <w:w w:val="105"/>
          <w:sz w:val="18"/>
        </w:rPr>
        <w:t xml:space="preserve">Evidence is relevant and relates to the observation. Irrelevant evidence may result in </w:t>
      </w:r>
      <w:r>
        <w:rPr>
          <w:w w:val="105"/>
          <w:sz w:val="18"/>
        </w:rPr>
        <w:t>the observation</w:t>
      </w:r>
      <w:r>
        <w:rPr>
          <w:spacing w:val="-48"/>
          <w:w w:val="105"/>
          <w:sz w:val="18"/>
        </w:rPr>
        <w:t xml:space="preserve"> </w:t>
      </w:r>
      <w:r>
        <w:rPr>
          <w:w w:val="105"/>
          <w:sz w:val="18"/>
        </w:rPr>
        <w:t>being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disputed.</w:t>
      </w:r>
    </w:p>
    <w:p w:rsidR="002E3BF1" w:rsidRDefault="002E3BF1" w:rsidP="002E3BF1">
      <w:pPr>
        <w:spacing w:line="244" w:lineRule="auto"/>
        <w:ind w:left="139"/>
        <w:rPr>
          <w:sz w:val="18"/>
        </w:rPr>
      </w:pPr>
      <w:r>
        <w:rPr>
          <w:spacing w:val="-1"/>
          <w:w w:val="105"/>
          <w:sz w:val="18"/>
          <w:vertAlign w:val="superscript"/>
        </w:rPr>
        <w:t>10</w:t>
      </w:r>
      <w:r>
        <w:rPr>
          <w:spacing w:val="8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Complete</w:t>
      </w:r>
      <w:r>
        <w:rPr>
          <w:spacing w:val="8"/>
          <w:w w:val="105"/>
          <w:sz w:val="18"/>
        </w:rPr>
        <w:t xml:space="preserve"> </w:t>
      </w:r>
      <w:r>
        <w:rPr>
          <w:spacing w:val="-1"/>
          <w:w w:val="160"/>
          <w:sz w:val="18"/>
        </w:rPr>
        <w:t>–</w:t>
      </w:r>
      <w:r>
        <w:rPr>
          <w:spacing w:val="-18"/>
          <w:w w:val="160"/>
          <w:sz w:val="18"/>
        </w:rPr>
        <w:t xml:space="preserve"> </w:t>
      </w:r>
      <w:r>
        <w:rPr>
          <w:spacing w:val="-1"/>
          <w:w w:val="105"/>
          <w:sz w:val="18"/>
        </w:rPr>
        <w:t>All</w:t>
      </w:r>
      <w:r>
        <w:rPr>
          <w:spacing w:val="8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the</w:t>
      </w:r>
      <w:r>
        <w:rPr>
          <w:spacing w:val="8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supporting,</w:t>
      </w:r>
      <w:r>
        <w:rPr>
          <w:spacing w:val="8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calculations</w:t>
      </w:r>
      <w:r>
        <w:rPr>
          <w:spacing w:val="8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necessary</w:t>
      </w:r>
      <w:r>
        <w:rPr>
          <w:spacing w:val="8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to</w:t>
      </w:r>
      <w:r>
        <w:rPr>
          <w:spacing w:val="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confirm</w:t>
      </w:r>
      <w:r>
        <w:rPr>
          <w:spacing w:val="8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the</w:t>
      </w:r>
      <w:r>
        <w:rPr>
          <w:spacing w:val="8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observation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are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provided.</w:t>
      </w:r>
      <w:r>
        <w:rPr>
          <w:spacing w:val="18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evidence</w:t>
      </w:r>
      <w:r>
        <w:rPr>
          <w:spacing w:val="-48"/>
          <w:w w:val="105"/>
          <w:sz w:val="18"/>
        </w:rPr>
        <w:t xml:space="preserve"> </w:t>
      </w:r>
      <w:r>
        <w:rPr>
          <w:w w:val="105"/>
          <w:sz w:val="18"/>
        </w:rPr>
        <w:t>should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not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be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incomplete.</w:t>
      </w:r>
      <w:r>
        <w:rPr>
          <w:spacing w:val="38"/>
          <w:w w:val="105"/>
          <w:sz w:val="18"/>
        </w:rPr>
        <w:t xml:space="preserve"> </w:t>
      </w:r>
      <w:r>
        <w:rPr>
          <w:w w:val="105"/>
          <w:sz w:val="18"/>
        </w:rPr>
        <w:t>Incomplete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evidence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sometimes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as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good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as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no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evidence.</w:t>
      </w:r>
    </w:p>
    <w:p w:rsidR="002E3BF1" w:rsidRPr="002E3BF1" w:rsidRDefault="002E3BF1" w:rsidP="002E3BF1">
      <w:pPr>
        <w:spacing w:before="140"/>
        <w:ind w:left="68" w:right="68"/>
        <w:jc w:val="center"/>
        <w:rPr>
          <w:rFonts w:ascii="Arial"/>
          <w:b/>
        </w:rPr>
        <w:sectPr w:rsidR="002E3BF1" w:rsidRPr="002E3BF1">
          <w:footerReference w:type="default" r:id="rId5"/>
          <w:pgSz w:w="12240" w:h="15840"/>
          <w:pgMar w:top="340" w:right="1300" w:bottom="280" w:left="1300" w:header="0" w:footer="0" w:gutter="0"/>
          <w:cols w:space="720"/>
        </w:sectPr>
      </w:pPr>
    </w:p>
    <w:p w:rsidR="00D12A80" w:rsidRDefault="00D12A80"/>
    <w:sectPr w:rsidR="00D12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2A54" w:rsidRDefault="00000000"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C7E4C"/>
    <w:multiLevelType w:val="multilevel"/>
    <w:tmpl w:val="EB084E18"/>
    <w:lvl w:ilvl="0">
      <w:start w:val="4"/>
      <w:numFmt w:val="decimal"/>
      <w:lvlText w:val="%1"/>
      <w:lvlJc w:val="left"/>
      <w:pPr>
        <w:ind w:left="860" w:hanging="72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860" w:hanging="721"/>
        <w:jc w:val="left"/>
      </w:pPr>
      <w:rPr>
        <w:rFonts w:ascii="Arial" w:eastAsia="Arial" w:hAnsi="Arial" w:cs="Arial" w:hint="default"/>
        <w:b/>
        <w:bCs/>
        <w:w w:val="99"/>
        <w:sz w:val="36"/>
        <w:szCs w:val="36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220" w:hanging="360"/>
        <w:jc w:val="left"/>
      </w:pPr>
      <w:rPr>
        <w:rFonts w:ascii="Microsoft Sans Serif" w:eastAsia="Microsoft Sans Serif" w:hAnsi="Microsoft Sans Serif" w:cs="Microsoft Sans Serif" w:hint="default"/>
        <w:w w:val="99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28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1113" w:hanging="360"/>
      </w:pPr>
      <w:rPr>
        <w:rFonts w:hint="default"/>
        <w:lang w:val="en-US" w:eastAsia="en-US" w:bidi="ar-SA"/>
      </w:rPr>
    </w:lvl>
  </w:abstractNum>
  <w:num w:numId="1" w16cid:durableId="2019651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BF1"/>
    <w:rsid w:val="002E3BF1"/>
    <w:rsid w:val="00D1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2C838"/>
  <w15:chartTrackingRefBased/>
  <w15:docId w15:val="{8867EB03-DDEE-4527-B498-4E8F19C9F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BF1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paragraph" w:styleId="Heading6">
    <w:name w:val="heading 6"/>
    <w:basedOn w:val="Normal"/>
    <w:link w:val="Heading6Char"/>
    <w:uiPriority w:val="9"/>
    <w:unhideWhenUsed/>
    <w:qFormat/>
    <w:rsid w:val="002E3BF1"/>
    <w:pPr>
      <w:spacing w:before="88"/>
      <w:ind w:left="859" w:hanging="720"/>
      <w:outlineLvl w:val="5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2E3BF1"/>
    <w:rPr>
      <w:rFonts w:ascii="Arial" w:eastAsia="Arial" w:hAnsi="Arial" w:cs="Arial"/>
      <w:b/>
      <w:bCs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E3BF1"/>
  </w:style>
  <w:style w:type="character" w:customStyle="1" w:styleId="BodyTextChar">
    <w:name w:val="Body Text Char"/>
    <w:basedOn w:val="DefaultParagraphFont"/>
    <w:link w:val="BodyText"/>
    <w:uiPriority w:val="1"/>
    <w:rsid w:val="002E3BF1"/>
    <w:rPr>
      <w:rFonts w:ascii="Microsoft Sans Serif" w:eastAsia="Microsoft Sans Serif" w:hAnsi="Microsoft Sans Serif" w:cs="Microsoft Sans Serif"/>
      <w:lang w:val="en-US"/>
    </w:rPr>
  </w:style>
  <w:style w:type="paragraph" w:customStyle="1" w:styleId="TableParagraph">
    <w:name w:val="Table Paragraph"/>
    <w:basedOn w:val="Normal"/>
    <w:uiPriority w:val="1"/>
    <w:qFormat/>
    <w:rsid w:val="002E3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2487FFFB16146B6CCE0AD83A58ADF" ma:contentTypeVersion="14" ma:contentTypeDescription="Create a new document." ma:contentTypeScope="" ma:versionID="6389e2a6b34849e264c533fb417dfcbe">
  <xsd:schema xmlns:xsd="http://www.w3.org/2001/XMLSchema" xmlns:xs="http://www.w3.org/2001/XMLSchema" xmlns:p="http://schemas.microsoft.com/office/2006/metadata/properties" xmlns:ns2="c4d1b88e-37a3-489e-92e6-75abb993d69e" xmlns:ns3="e65f5a12-863a-457f-ad99-6387d0246a86" targetNamespace="http://schemas.microsoft.com/office/2006/metadata/properties" ma:root="true" ma:fieldsID="22460c8de2afaaab4523aa0dfde1c706" ns2:_="" ns3:_="">
    <xsd:import namespace="c4d1b88e-37a3-489e-92e6-75abb993d69e"/>
    <xsd:import namespace="e65f5a12-863a-457f-ad99-6387d0246a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1b88e-37a3-489e-92e6-75abb993d6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31fb091-9b95-43a3-9203-971fe8483b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5f5a12-863a-457f-ad99-6387d0246a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17c2052-fd1d-4aab-90cb-88c44f3c2809}" ma:internalName="TaxCatchAll" ma:showField="CatchAllData" ma:web="e65f5a12-863a-457f-ad99-6387d0246a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d1b88e-37a3-489e-92e6-75abb993d69e">
      <Terms xmlns="http://schemas.microsoft.com/office/infopath/2007/PartnerControls"/>
    </lcf76f155ced4ddcb4097134ff3c332f>
    <TaxCatchAll xmlns="e65f5a12-863a-457f-ad99-6387d0246a86" xsi:nil="true"/>
  </documentManagement>
</p:properties>
</file>

<file path=customXml/itemProps1.xml><?xml version="1.0" encoding="utf-8"?>
<ds:datastoreItem xmlns:ds="http://schemas.openxmlformats.org/officeDocument/2006/customXml" ds:itemID="{EB13445A-3E26-4CA1-8F37-198709494F51}"/>
</file>

<file path=customXml/itemProps2.xml><?xml version="1.0" encoding="utf-8"?>
<ds:datastoreItem xmlns:ds="http://schemas.openxmlformats.org/officeDocument/2006/customXml" ds:itemID="{85981401-DB94-4E43-90BE-9BB590D5DD22}"/>
</file>

<file path=customXml/itemProps3.xml><?xml version="1.0" encoding="utf-8"?>
<ds:datastoreItem xmlns:ds="http://schemas.openxmlformats.org/officeDocument/2006/customXml" ds:itemID="{52986D54-D7D0-49E8-8827-817B3285026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jog</dc:creator>
  <cp:keywords/>
  <dc:description/>
  <cp:lastModifiedBy>saurabh jog</cp:lastModifiedBy>
  <cp:revision>1</cp:revision>
  <dcterms:created xsi:type="dcterms:W3CDTF">2022-11-18T08:01:00Z</dcterms:created>
  <dcterms:modified xsi:type="dcterms:W3CDTF">2022-11-18T08:02:00Z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0x010100A0B2487FFFB16146B6CCE0AD83A58ADF</vt:lpwstr>
  </property>
</Properties>
</file>