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E419" w14:textId="7CD8509B" w:rsidR="00AC7C89" w:rsidRPr="00290685" w:rsidRDefault="004442A1">
      <w:pPr>
        <w:rPr>
          <w:rFonts w:ascii="Open Sans" w:hAnsi="Open Sans" w:cs="Open Sans"/>
          <w:sz w:val="24"/>
          <w:szCs w:val="24"/>
        </w:rPr>
      </w:pPr>
      <w:r w:rsidRPr="00290685">
        <w:rPr>
          <w:rFonts w:ascii="Open Sans" w:hAnsi="Open Sans" w:cs="Open Sans"/>
          <w:noProof/>
          <w:sz w:val="24"/>
          <w:szCs w:val="24"/>
          <w:lang w:val="es-MX"/>
        </w:rPr>
        <mc:AlternateContent>
          <mc:Choice Requires="wps">
            <w:drawing>
              <wp:anchor distT="0" distB="0" distL="114300" distR="114300" simplePos="0" relativeHeight="251658240" behindDoc="0" locked="0" layoutInCell="1" allowOverlap="1" wp14:anchorId="66B8061E" wp14:editId="6024DE12">
                <wp:simplePos x="0" y="0"/>
                <wp:positionH relativeFrom="margin">
                  <wp:posOffset>3737863</wp:posOffset>
                </wp:positionH>
                <wp:positionV relativeFrom="paragraph">
                  <wp:posOffset>482273</wp:posOffset>
                </wp:positionV>
                <wp:extent cx="2765639" cy="451263"/>
                <wp:effectExtent l="0" t="0" r="0" b="6350"/>
                <wp:wrapNone/>
                <wp:docPr id="11" name="Cuadro de texto 11"/>
                <wp:cNvGraphicFramePr/>
                <a:graphic xmlns:a="http://schemas.openxmlformats.org/drawingml/2006/main">
                  <a:graphicData uri="http://schemas.microsoft.com/office/word/2010/wordprocessingShape">
                    <wps:wsp>
                      <wps:cNvSpPr txBox="1"/>
                      <wps:spPr>
                        <a:xfrm>
                          <a:off x="0" y="0"/>
                          <a:ext cx="2765639" cy="451263"/>
                        </a:xfrm>
                        <a:prstGeom prst="rect">
                          <a:avLst/>
                        </a:prstGeom>
                        <a:noFill/>
                        <a:ln w="6350">
                          <a:noFill/>
                        </a:ln>
                      </wps:spPr>
                      <wps:txbx>
                        <w:txbxContent>
                          <w:p w14:paraId="344EADB7" w14:textId="51491073" w:rsidR="00AE51C7" w:rsidRPr="00C456E2" w:rsidRDefault="00AE51C7" w:rsidP="00AC7C89">
                            <w:pPr>
                              <w:rPr>
                                <w:rFonts w:asciiTheme="majorHAnsi" w:hAnsiTheme="majorHAnsi" w:cstheme="majorHAnsi"/>
                                <w:b/>
                                <w:bCs/>
                                <w:color w:val="FFFFFF" w:themeColor="background1"/>
                                <w:sz w:val="44"/>
                                <w:szCs w:val="44"/>
                                <w:lang w:val="es-ES"/>
                              </w:rPr>
                            </w:pPr>
                            <w:r>
                              <w:rPr>
                                <w:rFonts w:asciiTheme="majorHAnsi" w:hAnsiTheme="majorHAnsi" w:cstheme="majorHAnsi"/>
                                <w:b/>
                                <w:bCs/>
                                <w:color w:val="FFFFFF" w:themeColor="background1"/>
                                <w:sz w:val="44"/>
                                <w:szCs w:val="44"/>
                                <w:lang w:val="es-ES"/>
                              </w:rPr>
                              <w:t>Rendición de cuentas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B8061E" id="_x0000_t202" coordsize="21600,21600" o:spt="202" path="m,l,21600r21600,l21600,xe">
                <v:stroke joinstyle="miter"/>
                <v:path gradientshapeok="t" o:connecttype="rect"/>
              </v:shapetype>
              <v:shape id="Cuadro de texto 11" o:spid="_x0000_s1026" type="#_x0000_t202" style="position:absolute;margin-left:294.3pt;margin-top:37.95pt;width:217.75pt;height:35.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" filled="f" stroked="f" strokeweight=".5pt">
                <v:textbox>
                  <w:txbxContent>
                    <w:p w14:paraId="344EADB7" w14:textId="51491073" w:rsidR="00AE51C7" w:rsidRPr="00C456E2" w:rsidRDefault="00AE51C7" w:rsidP="00AC7C89">
                      <w:pPr>
                        <w:rPr>
                          <w:rFonts w:asciiTheme="majorHAnsi" w:hAnsiTheme="majorHAnsi" w:cstheme="majorHAnsi"/>
                          <w:b/>
                          <w:bCs/>
                          <w:color w:val="FFFFFF" w:themeColor="background1"/>
                          <w:sz w:val="44"/>
                          <w:szCs w:val="44"/>
                          <w:lang w:val="es-ES"/>
                        </w:rPr>
                      </w:pPr>
                      <w:r>
                        <w:rPr>
                          <w:rFonts w:asciiTheme="majorHAnsi" w:hAnsiTheme="majorHAnsi" w:cstheme="majorHAnsi"/>
                          <w:b/>
                          <w:bCs/>
                          <w:color w:val="FFFFFF" w:themeColor="background1"/>
                          <w:sz w:val="44"/>
                          <w:szCs w:val="44"/>
                          <w:lang w:val="es-ES"/>
                        </w:rPr>
                        <w:t>Rendición de cuentas</w:t>
                      </w:r>
                    </w:p>
                  </w:txbxContent>
                </v:textbox>
                <w10:wrap anchorx="margin"/>
              </v:shape>
            </w:pict>
          </mc:Fallback>
        </mc:AlternateContent>
      </w:r>
      <w:r w:rsidRPr="00290685">
        <w:rPr>
          <w:rFonts w:ascii="Open Sans" w:hAnsi="Open Sans" w:cs="Open Sans"/>
          <w:noProof/>
          <w:sz w:val="24"/>
          <w:szCs w:val="24"/>
          <w:lang w:val="es-MX"/>
        </w:rPr>
        <w:drawing>
          <wp:anchor distT="0" distB="0" distL="114300" distR="114300" simplePos="0" relativeHeight="251659264" behindDoc="0" locked="0" layoutInCell="1" allowOverlap="1" wp14:anchorId="73B30298" wp14:editId="21CB9C72">
            <wp:simplePos x="0" y="0"/>
            <wp:positionH relativeFrom="margin">
              <wp:posOffset>2417635</wp:posOffset>
            </wp:positionH>
            <wp:positionV relativeFrom="margin">
              <wp:posOffset>1216042</wp:posOffset>
            </wp:positionV>
            <wp:extent cx="4060825" cy="561975"/>
            <wp:effectExtent l="0" t="0" r="0" b="9525"/>
            <wp:wrapSquare wrapText="bothSides"/>
            <wp:docPr id="20681946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4601" name="Imagen 20681946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60825" cy="561975"/>
                    </a:xfrm>
                    <a:prstGeom prst="rect">
                      <a:avLst/>
                    </a:prstGeom>
                  </pic:spPr>
                </pic:pic>
              </a:graphicData>
            </a:graphic>
            <wp14:sizeRelH relativeFrom="margin">
              <wp14:pctWidth>0</wp14:pctWidth>
            </wp14:sizeRelH>
            <wp14:sizeRelV relativeFrom="margin">
              <wp14:pctHeight>0</wp14:pctHeight>
            </wp14:sizeRelV>
          </wp:anchor>
        </w:drawing>
      </w:r>
      <w:r w:rsidR="006D7358" w:rsidRPr="00290685">
        <w:rPr>
          <w:rFonts w:ascii="Open Sans" w:hAnsi="Open Sans" w:cs="Open Sans"/>
          <w:noProof/>
          <w:sz w:val="24"/>
          <w:szCs w:val="24"/>
          <w:lang w:val="es-MX"/>
        </w:rPr>
        <w:drawing>
          <wp:inline distT="0" distB="0" distL="0" distR="0" wp14:anchorId="78B21708" wp14:editId="62B7279E">
            <wp:extent cx="6172200" cy="854710"/>
            <wp:effectExtent l="0" t="0" r="0" b="2540"/>
            <wp:docPr id="10393923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92376" name="Imagen 10393923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854710"/>
                    </a:xfrm>
                    <a:prstGeom prst="rect">
                      <a:avLst/>
                    </a:prstGeom>
                  </pic:spPr>
                </pic:pic>
              </a:graphicData>
            </a:graphic>
          </wp:inline>
        </w:drawing>
      </w:r>
      <w:r w:rsidR="006D7358" w:rsidRPr="00290685">
        <w:rPr>
          <w:rFonts w:ascii="Open Sans" w:hAnsi="Open Sans" w:cs="Open Sans"/>
          <w:noProof/>
          <w:sz w:val="24"/>
          <w:szCs w:val="24"/>
          <w:lang w:val="es-MX"/>
        </w:rPr>
        <w:drawing>
          <wp:inline distT="0" distB="0" distL="0" distR="0" wp14:anchorId="0A5DC10C" wp14:editId="6C23E2AF">
            <wp:extent cx="6172200" cy="854710"/>
            <wp:effectExtent l="0" t="0" r="0" b="2540"/>
            <wp:docPr id="5939572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7260" name="Imagen 593957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854710"/>
                    </a:xfrm>
                    <a:prstGeom prst="rect">
                      <a:avLst/>
                    </a:prstGeom>
                  </pic:spPr>
                </pic:pic>
              </a:graphicData>
            </a:graphic>
          </wp:inline>
        </w:drawing>
      </w:r>
      <w:r w:rsidR="00AC7C89" w:rsidRPr="00290685">
        <w:rPr>
          <w:rFonts w:ascii="Open Sans" w:hAnsi="Open Sans" w:cs="Open Sans"/>
          <w:noProof/>
          <w:sz w:val="24"/>
          <w:szCs w:val="24"/>
          <w:lang w:val="es-MX"/>
        </w:rPr>
        <w:drawing>
          <wp:anchor distT="0" distB="0" distL="114300" distR="114300" simplePos="0" relativeHeight="251657215" behindDoc="0" locked="0" layoutInCell="1" allowOverlap="1" wp14:anchorId="064A6EF5" wp14:editId="33E709CD">
            <wp:simplePos x="0" y="0"/>
            <wp:positionH relativeFrom="page">
              <wp:posOffset>-184150</wp:posOffset>
            </wp:positionH>
            <wp:positionV relativeFrom="paragraph">
              <wp:posOffset>-899160</wp:posOffset>
            </wp:positionV>
            <wp:extent cx="7936173" cy="10982960"/>
            <wp:effectExtent l="0" t="0" r="8255" b="0"/>
            <wp:wrapNone/>
            <wp:docPr id="1694994074" name="Imagen 17"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4074" name="Imagen 17" descr="Calendario&#10;&#10;El contenido generado por IA puede ser incorrecto."/>
                    <pic:cNvPicPr/>
                  </pic:nvPicPr>
                  <pic:blipFill>
                    <a:blip r:embed="rId12">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936173" cy="10982960"/>
                    </a:xfrm>
                    <a:prstGeom prst="rect">
                      <a:avLst/>
                    </a:prstGeom>
                  </pic:spPr>
                </pic:pic>
              </a:graphicData>
            </a:graphic>
            <wp14:sizeRelH relativeFrom="margin">
              <wp14:pctWidth>0</wp14:pctWidth>
            </wp14:sizeRelH>
            <wp14:sizeRelV relativeFrom="margin">
              <wp14:pctHeight>0</wp14:pctHeight>
            </wp14:sizeRelV>
          </wp:anchor>
        </w:drawing>
      </w:r>
    </w:p>
    <w:p w14:paraId="31199E1A" w14:textId="31E02241" w:rsidR="00AC7C89" w:rsidRPr="00290685" w:rsidRDefault="00AC7C89">
      <w:pPr>
        <w:rPr>
          <w:rFonts w:ascii="Open Sans" w:hAnsi="Open Sans" w:cs="Open Sans"/>
          <w:sz w:val="24"/>
          <w:szCs w:val="24"/>
        </w:rPr>
      </w:pPr>
    </w:p>
    <w:p w14:paraId="45D9ECBA" w14:textId="6467CEB5" w:rsidR="00AC7C89" w:rsidRPr="00290685" w:rsidRDefault="00AC7C89">
      <w:pPr>
        <w:rPr>
          <w:rFonts w:ascii="Open Sans" w:hAnsi="Open Sans" w:cs="Open Sans"/>
          <w:sz w:val="24"/>
          <w:szCs w:val="24"/>
        </w:rPr>
      </w:pPr>
    </w:p>
    <w:p w14:paraId="5180A82A" w14:textId="1D5F524F" w:rsidR="00AC7C89" w:rsidRPr="00290685" w:rsidRDefault="00AC7C89">
      <w:pPr>
        <w:rPr>
          <w:rFonts w:ascii="Open Sans" w:hAnsi="Open Sans" w:cs="Open Sans"/>
          <w:sz w:val="24"/>
          <w:szCs w:val="24"/>
        </w:rPr>
      </w:pPr>
    </w:p>
    <w:p w14:paraId="1ACE26E9" w14:textId="2E7E03A3" w:rsidR="00AC7C89" w:rsidRPr="00290685" w:rsidRDefault="00AC7C89">
      <w:pPr>
        <w:rPr>
          <w:rFonts w:ascii="Open Sans" w:hAnsi="Open Sans" w:cs="Open Sans"/>
          <w:sz w:val="24"/>
          <w:szCs w:val="24"/>
        </w:rPr>
      </w:pPr>
    </w:p>
    <w:p w14:paraId="2853898D" w14:textId="6CABABD8" w:rsidR="00AC7C89" w:rsidRPr="00290685" w:rsidRDefault="00AC7C89">
      <w:pPr>
        <w:rPr>
          <w:rFonts w:ascii="Open Sans" w:hAnsi="Open Sans" w:cs="Open Sans"/>
          <w:sz w:val="24"/>
          <w:szCs w:val="24"/>
        </w:rPr>
      </w:pPr>
    </w:p>
    <w:p w14:paraId="0C3190D6" w14:textId="7DE67800" w:rsidR="00AC7C89" w:rsidRPr="00290685" w:rsidRDefault="00AC7C89">
      <w:pPr>
        <w:rPr>
          <w:rFonts w:ascii="Open Sans" w:hAnsi="Open Sans" w:cs="Open Sans"/>
          <w:sz w:val="24"/>
          <w:szCs w:val="24"/>
        </w:rPr>
      </w:pPr>
    </w:p>
    <w:p w14:paraId="3A10142C" w14:textId="4583758A" w:rsidR="00AC7C89" w:rsidRPr="00290685" w:rsidRDefault="00AC7C89">
      <w:pPr>
        <w:rPr>
          <w:rFonts w:ascii="Open Sans" w:hAnsi="Open Sans" w:cs="Open Sans"/>
          <w:sz w:val="24"/>
          <w:szCs w:val="24"/>
        </w:rPr>
      </w:pPr>
    </w:p>
    <w:p w14:paraId="333E4A28" w14:textId="2471BAF8" w:rsidR="00AC7C89" w:rsidRPr="00290685" w:rsidRDefault="00AC7C89">
      <w:pPr>
        <w:rPr>
          <w:rFonts w:ascii="Open Sans" w:hAnsi="Open Sans" w:cs="Open Sans"/>
          <w:sz w:val="24"/>
          <w:szCs w:val="24"/>
        </w:rPr>
      </w:pPr>
    </w:p>
    <w:p w14:paraId="40713330" w14:textId="119946C5" w:rsidR="00AC7C89" w:rsidRPr="00290685" w:rsidRDefault="00FD1199" w:rsidP="00AC7C89">
      <w:pPr>
        <w:jc w:val="both"/>
        <w:rPr>
          <w:rFonts w:ascii="Open Sans" w:hAnsi="Open Sans" w:cs="Open Sans"/>
          <w:sz w:val="24"/>
          <w:szCs w:val="24"/>
          <w:lang w:val="es-MX"/>
        </w:rPr>
      </w:pPr>
      <w:r w:rsidRPr="00290685">
        <w:rPr>
          <w:rFonts w:ascii="Open Sans" w:hAnsi="Open Sans" w:cs="Open Sans"/>
          <w:noProof/>
          <w:sz w:val="24"/>
          <w:szCs w:val="24"/>
          <w:lang w:val="es-MX"/>
        </w:rPr>
        <mc:AlternateContent>
          <mc:Choice Requires="wps">
            <w:drawing>
              <wp:anchor distT="0" distB="0" distL="114300" distR="114300" simplePos="0" relativeHeight="251661312" behindDoc="0" locked="0" layoutInCell="1" allowOverlap="1" wp14:anchorId="631915A0" wp14:editId="3E56DC2E">
                <wp:simplePos x="0" y="0"/>
                <wp:positionH relativeFrom="margin">
                  <wp:posOffset>2476500</wp:posOffset>
                </wp:positionH>
                <wp:positionV relativeFrom="paragraph">
                  <wp:posOffset>2495550</wp:posOffset>
                </wp:positionV>
                <wp:extent cx="4229100" cy="1879600"/>
                <wp:effectExtent l="0" t="0" r="0" b="6350"/>
                <wp:wrapNone/>
                <wp:docPr id="1241839706" name="Cuadro de texto 1241839706"/>
                <wp:cNvGraphicFramePr/>
                <a:graphic xmlns:a="http://schemas.openxmlformats.org/drawingml/2006/main">
                  <a:graphicData uri="http://schemas.microsoft.com/office/word/2010/wordprocessingShape">
                    <wps:wsp>
                      <wps:cNvSpPr txBox="1"/>
                      <wps:spPr>
                        <a:xfrm>
                          <a:off x="0" y="0"/>
                          <a:ext cx="4229100" cy="1879600"/>
                        </a:xfrm>
                        <a:prstGeom prst="rect">
                          <a:avLst/>
                        </a:prstGeom>
                        <a:noFill/>
                        <a:ln w="6350">
                          <a:noFill/>
                        </a:ln>
                      </wps:spPr>
                      <wps:txbx>
                        <w:txbxContent>
                          <w:p w14:paraId="6275440B" w14:textId="77777777" w:rsidR="00FD1199" w:rsidRPr="00364FF8" w:rsidRDefault="00FD1199" w:rsidP="00FD1199">
                            <w:pPr>
                              <w:rPr>
                                <w:rFonts w:asciiTheme="majorHAnsi" w:hAnsiTheme="majorHAnsi" w:cstheme="majorHAnsi"/>
                                <w:b/>
                                <w:bCs/>
                                <w:color w:val="FFFFFF" w:themeColor="background1"/>
                                <w:sz w:val="36"/>
                                <w:szCs w:val="36"/>
                                <w:lang w:val="es-ES"/>
                              </w:rPr>
                            </w:pPr>
                            <w:r w:rsidRPr="00364FF8">
                              <w:rPr>
                                <w:rFonts w:asciiTheme="majorHAnsi" w:hAnsiTheme="majorHAnsi" w:cstheme="majorHAnsi"/>
                                <w:b/>
                                <w:bCs/>
                                <w:color w:val="FFFFFF" w:themeColor="background1"/>
                                <w:sz w:val="36"/>
                                <w:szCs w:val="36"/>
                                <w:lang w:val="es-ES"/>
                              </w:rPr>
                              <w:t>Presentado por:</w:t>
                            </w:r>
                          </w:p>
                          <w:p w14:paraId="40F74E43" w14:textId="51E244D5" w:rsidR="00FD1199" w:rsidRDefault="00FD1199" w:rsidP="00FD1199">
                            <w:pPr>
                              <w:rPr>
                                <w:rFonts w:asciiTheme="majorHAnsi" w:hAnsiTheme="majorHAnsi" w:cstheme="majorHAnsi"/>
                                <w:b/>
                                <w:bCs/>
                                <w:color w:val="FFFFFF" w:themeColor="background1"/>
                                <w:sz w:val="44"/>
                                <w:szCs w:val="44"/>
                                <w:lang w:val="es-ES"/>
                              </w:rPr>
                            </w:pPr>
                            <w:r>
                              <w:rPr>
                                <w:rFonts w:asciiTheme="majorHAnsi" w:hAnsiTheme="majorHAnsi" w:cstheme="majorHAnsi"/>
                                <w:b/>
                                <w:bCs/>
                                <w:color w:val="FFFFFF" w:themeColor="background1"/>
                                <w:sz w:val="44"/>
                                <w:szCs w:val="44"/>
                                <w:lang w:val="es-ES"/>
                              </w:rPr>
                              <w:t>OMAIRA NELLY  BUITRAGO</w:t>
                            </w:r>
                            <w:r w:rsidR="00364FF8">
                              <w:rPr>
                                <w:rFonts w:asciiTheme="majorHAnsi" w:hAnsiTheme="majorHAnsi" w:cstheme="majorHAnsi"/>
                                <w:b/>
                                <w:bCs/>
                                <w:color w:val="FFFFFF" w:themeColor="background1"/>
                                <w:sz w:val="44"/>
                                <w:szCs w:val="44"/>
                                <w:lang w:val="es-ES"/>
                              </w:rPr>
                              <w:t xml:space="preserve"> BOHÓRQUEZ</w:t>
                            </w:r>
                          </w:p>
                          <w:p w14:paraId="3CC228C2" w14:textId="017ADAC6" w:rsidR="00FD1199" w:rsidRDefault="00FD1199" w:rsidP="00FD1199">
                            <w:pPr>
                              <w:rPr>
                                <w:rFonts w:asciiTheme="majorHAnsi" w:hAnsiTheme="majorHAnsi" w:cstheme="majorHAnsi"/>
                                <w:b/>
                                <w:bCs/>
                                <w:color w:val="FFFFFF" w:themeColor="background1"/>
                                <w:sz w:val="36"/>
                                <w:szCs w:val="36"/>
                                <w:lang w:val="es-ES"/>
                              </w:rPr>
                            </w:pPr>
                            <w:r w:rsidRPr="00364FF8">
                              <w:rPr>
                                <w:rFonts w:asciiTheme="majorHAnsi" w:hAnsiTheme="majorHAnsi" w:cstheme="majorHAnsi"/>
                                <w:b/>
                                <w:bCs/>
                                <w:color w:val="FFFFFF" w:themeColor="background1"/>
                                <w:sz w:val="36"/>
                                <w:szCs w:val="36"/>
                                <w:lang w:val="es-ES"/>
                              </w:rPr>
                              <w:t>Vicerrectora Administrativa y Financiera</w:t>
                            </w:r>
                          </w:p>
                          <w:p w14:paraId="6016B38F" w14:textId="63FF55D9" w:rsidR="00EE6D43" w:rsidRPr="00364FF8" w:rsidRDefault="00EE6D43" w:rsidP="00FD1199">
                            <w:pPr>
                              <w:rPr>
                                <w:rFonts w:asciiTheme="majorHAnsi" w:hAnsiTheme="majorHAnsi" w:cstheme="majorHAnsi"/>
                                <w:b/>
                                <w:bCs/>
                                <w:color w:val="FFFFFF" w:themeColor="background1"/>
                                <w:sz w:val="36"/>
                                <w:szCs w:val="36"/>
                                <w:lang w:val="es-ES"/>
                              </w:rPr>
                            </w:pPr>
                            <w:r>
                              <w:rPr>
                                <w:rFonts w:asciiTheme="majorHAnsi" w:hAnsiTheme="majorHAnsi" w:cstheme="majorHAnsi"/>
                                <w:b/>
                                <w:bCs/>
                                <w:color w:val="FFFFFF" w:themeColor="background1"/>
                                <w:sz w:val="36"/>
                                <w:szCs w:val="36"/>
                                <w:lang w:val="es-ES"/>
                              </w:rPr>
                              <w:t>Diciembre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915A0" id="Cuadro de texto 1241839706" o:spid="_x0000_s1027" type="#_x0000_t202" style="position:absolute;left:0;text-align:left;margin-left:195pt;margin-top:196.5pt;width:333pt;height:1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" filled="f" stroked="f" strokeweight=".5pt">
                <v:textbox>
                  <w:txbxContent>
                    <w:p w14:paraId="6275440B" w14:textId="77777777" w:rsidR="00FD1199" w:rsidRPr="00364FF8" w:rsidRDefault="00FD1199" w:rsidP="00FD1199">
                      <w:pPr>
                        <w:rPr>
                          <w:rFonts w:asciiTheme="majorHAnsi" w:hAnsiTheme="majorHAnsi" w:cstheme="majorHAnsi"/>
                          <w:b/>
                          <w:bCs/>
                          <w:color w:val="FFFFFF" w:themeColor="background1"/>
                          <w:sz w:val="36"/>
                          <w:szCs w:val="36"/>
                          <w:lang w:val="es-ES"/>
                        </w:rPr>
                      </w:pPr>
                      <w:r w:rsidRPr="00364FF8">
                        <w:rPr>
                          <w:rFonts w:asciiTheme="majorHAnsi" w:hAnsiTheme="majorHAnsi" w:cstheme="majorHAnsi"/>
                          <w:b/>
                          <w:bCs/>
                          <w:color w:val="FFFFFF" w:themeColor="background1"/>
                          <w:sz w:val="36"/>
                          <w:szCs w:val="36"/>
                          <w:lang w:val="es-ES"/>
                        </w:rPr>
                        <w:t>Presentado por:</w:t>
                      </w:r>
                    </w:p>
                    <w:p w14:paraId="40F74E43" w14:textId="51E244D5" w:rsidR="00FD1199" w:rsidRDefault="00FD1199" w:rsidP="00FD1199">
                      <w:pPr>
                        <w:rPr>
                          <w:rFonts w:asciiTheme="majorHAnsi" w:hAnsiTheme="majorHAnsi" w:cstheme="majorHAnsi"/>
                          <w:b/>
                          <w:bCs/>
                          <w:color w:val="FFFFFF" w:themeColor="background1"/>
                          <w:sz w:val="44"/>
                          <w:szCs w:val="44"/>
                          <w:lang w:val="es-ES"/>
                        </w:rPr>
                      </w:pPr>
                      <w:r>
                        <w:rPr>
                          <w:rFonts w:asciiTheme="majorHAnsi" w:hAnsiTheme="majorHAnsi" w:cstheme="majorHAnsi"/>
                          <w:b/>
                          <w:bCs/>
                          <w:color w:val="FFFFFF" w:themeColor="background1"/>
                          <w:sz w:val="44"/>
                          <w:szCs w:val="44"/>
                          <w:lang w:val="es-ES"/>
                        </w:rPr>
                        <w:t>OMAIRA NELLY  BUITRAGO</w:t>
                      </w:r>
                      <w:r w:rsidR="00364FF8">
                        <w:rPr>
                          <w:rFonts w:asciiTheme="majorHAnsi" w:hAnsiTheme="majorHAnsi" w:cstheme="majorHAnsi"/>
                          <w:b/>
                          <w:bCs/>
                          <w:color w:val="FFFFFF" w:themeColor="background1"/>
                          <w:sz w:val="44"/>
                          <w:szCs w:val="44"/>
                          <w:lang w:val="es-ES"/>
                        </w:rPr>
                        <w:t xml:space="preserve"> BOHÓRQUEZ</w:t>
                      </w:r>
                    </w:p>
                    <w:p w14:paraId="3CC228C2" w14:textId="017ADAC6" w:rsidR="00FD1199" w:rsidRDefault="00FD1199" w:rsidP="00FD1199">
                      <w:pPr>
                        <w:rPr>
                          <w:rFonts w:asciiTheme="majorHAnsi" w:hAnsiTheme="majorHAnsi" w:cstheme="majorHAnsi"/>
                          <w:b/>
                          <w:bCs/>
                          <w:color w:val="FFFFFF" w:themeColor="background1"/>
                          <w:sz w:val="36"/>
                          <w:szCs w:val="36"/>
                          <w:lang w:val="es-ES"/>
                        </w:rPr>
                      </w:pPr>
                      <w:r w:rsidRPr="00364FF8">
                        <w:rPr>
                          <w:rFonts w:asciiTheme="majorHAnsi" w:hAnsiTheme="majorHAnsi" w:cstheme="majorHAnsi"/>
                          <w:b/>
                          <w:bCs/>
                          <w:color w:val="FFFFFF" w:themeColor="background1"/>
                          <w:sz w:val="36"/>
                          <w:szCs w:val="36"/>
                          <w:lang w:val="es-ES"/>
                        </w:rPr>
                        <w:t>Vicerrectora Administrativa y Financiera</w:t>
                      </w:r>
                    </w:p>
                    <w:p w14:paraId="6016B38F" w14:textId="63FF55D9" w:rsidR="00EE6D43" w:rsidRPr="00364FF8" w:rsidRDefault="00EE6D43" w:rsidP="00FD1199">
                      <w:pPr>
                        <w:rPr>
                          <w:rFonts w:asciiTheme="majorHAnsi" w:hAnsiTheme="majorHAnsi" w:cstheme="majorHAnsi"/>
                          <w:b/>
                          <w:bCs/>
                          <w:color w:val="FFFFFF" w:themeColor="background1"/>
                          <w:sz w:val="36"/>
                          <w:szCs w:val="36"/>
                          <w:lang w:val="es-ES"/>
                        </w:rPr>
                      </w:pPr>
                      <w:r>
                        <w:rPr>
                          <w:rFonts w:asciiTheme="majorHAnsi" w:hAnsiTheme="majorHAnsi" w:cstheme="majorHAnsi"/>
                          <w:b/>
                          <w:bCs/>
                          <w:color w:val="FFFFFF" w:themeColor="background1"/>
                          <w:sz w:val="36"/>
                          <w:szCs w:val="36"/>
                          <w:lang w:val="es-ES"/>
                        </w:rPr>
                        <w:t>Diciembre de 2025</w:t>
                      </w:r>
                    </w:p>
                  </w:txbxContent>
                </v:textbox>
                <w10:wrap anchorx="margin"/>
              </v:shape>
            </w:pict>
          </mc:Fallback>
        </mc:AlternateContent>
      </w:r>
      <w:r w:rsidR="00AC7C89" w:rsidRPr="00290685">
        <w:rPr>
          <w:rFonts w:ascii="Open Sans" w:hAnsi="Open Sans" w:cs="Open Sans"/>
          <w:noProof/>
          <w:sz w:val="24"/>
          <w:szCs w:val="24"/>
          <w:lang w:val="es-MX"/>
        </w:rPr>
        <w:t xml:space="preserve"> </w:t>
      </w:r>
      <w:r w:rsidR="00AC7C89" w:rsidRPr="00290685">
        <w:rPr>
          <w:rFonts w:ascii="Open Sans" w:hAnsi="Open Sans" w:cs="Open Sans"/>
          <w:sz w:val="24"/>
          <w:szCs w:val="24"/>
          <w:lang w:val="es-MX"/>
        </w:rPr>
        <w:br w:type="page"/>
      </w:r>
    </w:p>
    <w:sdt>
      <w:sdtPr>
        <w:rPr>
          <w:rFonts w:ascii="Arial" w:eastAsia="Arial" w:hAnsi="Arial" w:cs="Arial"/>
          <w:color w:val="auto"/>
          <w:sz w:val="22"/>
          <w:szCs w:val="22"/>
        </w:rPr>
        <w:id w:val="1827549759"/>
        <w:docPartObj>
          <w:docPartGallery w:val="Table of Contents"/>
          <w:docPartUnique/>
        </w:docPartObj>
      </w:sdtPr>
      <w:sdtContent>
        <w:p w14:paraId="00E1CE20" w14:textId="77777777" w:rsidR="0046187A" w:rsidRPr="00290685" w:rsidRDefault="0046187A">
          <w:pPr>
            <w:pStyle w:val="TtuloTDC"/>
            <w:rPr>
              <w:rFonts w:ascii="Open Sans" w:eastAsia="Arial" w:hAnsi="Open Sans" w:cs="Open Sans"/>
              <w:color w:val="auto"/>
              <w:sz w:val="22"/>
              <w:szCs w:val="22"/>
              <w:lang w:val="es-MX"/>
            </w:rPr>
          </w:pPr>
        </w:p>
        <w:p w14:paraId="059E25C8" w14:textId="608C4938" w:rsidR="006F375E" w:rsidRPr="00290685" w:rsidRDefault="3C0509C3">
          <w:pPr>
            <w:pStyle w:val="TtuloTDC"/>
            <w:rPr>
              <w:rFonts w:ascii="Open Sans" w:hAnsi="Open Sans" w:cs="Open Sans"/>
              <w:b/>
              <w:bCs/>
              <w:lang w:val="es-MX"/>
            </w:rPr>
          </w:pPr>
          <w:r w:rsidRPr="0BA901D7">
            <w:rPr>
              <w:rFonts w:ascii="Open Sans" w:hAnsi="Open Sans" w:cs="Open Sans"/>
              <w:b/>
              <w:bCs/>
              <w:lang w:val="es-MX"/>
            </w:rPr>
            <w:t>Tabla de Contenido</w:t>
          </w:r>
        </w:p>
        <w:p w14:paraId="34850903" w14:textId="77777777" w:rsidR="006F375E" w:rsidRPr="00290685" w:rsidRDefault="006F375E" w:rsidP="006F375E">
          <w:pPr>
            <w:rPr>
              <w:rFonts w:ascii="Open Sans" w:hAnsi="Open Sans" w:cs="Open Sans"/>
              <w:lang w:val="es-MX"/>
            </w:rPr>
          </w:pPr>
        </w:p>
        <w:p w14:paraId="49BF8C39" w14:textId="48F6AEAB" w:rsidR="000F4695" w:rsidRDefault="006D7358">
          <w:pPr>
            <w:pStyle w:val="TD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rsidR="006F375E">
            <w:instrText>TOC \o "1-3" \z \u \h</w:instrText>
          </w:r>
          <w:r>
            <w:fldChar w:fldCharType="separate"/>
          </w:r>
          <w:hyperlink w:anchor="_Toc225515003" w:history="1">
            <w:r w:rsidR="000F4695" w:rsidRPr="00F86FE6">
              <w:rPr>
                <w:rStyle w:val="Hipervnculo"/>
                <w:rFonts w:ascii="Open Sans" w:hAnsi="Open Sans" w:cs="Open Sans"/>
                <w:noProof/>
              </w:rPr>
              <w:t>INTRODUCCIÓN</w:t>
            </w:r>
            <w:r w:rsidR="000F4695">
              <w:rPr>
                <w:noProof/>
                <w:webHidden/>
              </w:rPr>
              <w:tab/>
            </w:r>
            <w:r w:rsidR="000F4695">
              <w:rPr>
                <w:noProof/>
                <w:webHidden/>
              </w:rPr>
              <w:fldChar w:fldCharType="begin"/>
            </w:r>
            <w:r w:rsidR="000F4695">
              <w:rPr>
                <w:noProof/>
                <w:webHidden/>
              </w:rPr>
              <w:instrText xml:space="preserve"> PAGEREF _Toc225515003 \h </w:instrText>
            </w:r>
            <w:r w:rsidR="000F4695">
              <w:rPr>
                <w:noProof/>
                <w:webHidden/>
              </w:rPr>
            </w:r>
            <w:r w:rsidR="000F4695">
              <w:rPr>
                <w:noProof/>
                <w:webHidden/>
              </w:rPr>
              <w:fldChar w:fldCharType="separate"/>
            </w:r>
            <w:r w:rsidR="000F4695">
              <w:rPr>
                <w:noProof/>
                <w:webHidden/>
              </w:rPr>
              <w:t>3</w:t>
            </w:r>
            <w:r w:rsidR="000F4695">
              <w:rPr>
                <w:noProof/>
                <w:webHidden/>
              </w:rPr>
              <w:fldChar w:fldCharType="end"/>
            </w:r>
          </w:hyperlink>
        </w:p>
        <w:p w14:paraId="54735048" w14:textId="6B5CBE79" w:rsidR="000F4695" w:rsidRDefault="000F4695">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5515004" w:history="1">
            <w:r w:rsidRPr="00F86FE6">
              <w:rPr>
                <w:rStyle w:val="Hipervnculo"/>
                <w:rFonts w:ascii="Open Sans" w:hAnsi="Open Sans" w:cs="Open Sans"/>
                <w:noProof/>
              </w:rPr>
              <w:t>I. GESTIÓN ADMINISTRATIVA Y FINANCIERA</w:t>
            </w:r>
            <w:r>
              <w:rPr>
                <w:noProof/>
                <w:webHidden/>
              </w:rPr>
              <w:tab/>
            </w:r>
            <w:r>
              <w:rPr>
                <w:noProof/>
                <w:webHidden/>
              </w:rPr>
              <w:fldChar w:fldCharType="begin"/>
            </w:r>
            <w:r>
              <w:rPr>
                <w:noProof/>
                <w:webHidden/>
              </w:rPr>
              <w:instrText xml:space="preserve"> PAGEREF _Toc225515004 \h </w:instrText>
            </w:r>
            <w:r>
              <w:rPr>
                <w:noProof/>
                <w:webHidden/>
              </w:rPr>
            </w:r>
            <w:r>
              <w:rPr>
                <w:noProof/>
                <w:webHidden/>
              </w:rPr>
              <w:fldChar w:fldCharType="separate"/>
            </w:r>
            <w:r>
              <w:rPr>
                <w:noProof/>
                <w:webHidden/>
              </w:rPr>
              <w:t>4</w:t>
            </w:r>
            <w:r>
              <w:rPr>
                <w:noProof/>
                <w:webHidden/>
              </w:rPr>
              <w:fldChar w:fldCharType="end"/>
            </w:r>
          </w:hyperlink>
        </w:p>
        <w:p w14:paraId="66DBB15F" w14:textId="1758032B" w:rsidR="000F4695" w:rsidRDefault="000F4695">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5515005" w:history="1">
            <w:r w:rsidRPr="00F86FE6">
              <w:rPr>
                <w:rStyle w:val="Hipervnculo"/>
                <w:rFonts w:ascii="Open Sans" w:hAnsi="Open Sans" w:cs="Open Sans"/>
                <w:noProof/>
              </w:rPr>
              <w:t>1. Resultados por Pilares Institucionales</w:t>
            </w:r>
            <w:r>
              <w:rPr>
                <w:noProof/>
                <w:webHidden/>
              </w:rPr>
              <w:tab/>
            </w:r>
            <w:r>
              <w:rPr>
                <w:noProof/>
                <w:webHidden/>
              </w:rPr>
              <w:fldChar w:fldCharType="begin"/>
            </w:r>
            <w:r>
              <w:rPr>
                <w:noProof/>
                <w:webHidden/>
              </w:rPr>
              <w:instrText xml:space="preserve"> PAGEREF _Toc225515005 \h </w:instrText>
            </w:r>
            <w:r>
              <w:rPr>
                <w:noProof/>
                <w:webHidden/>
              </w:rPr>
            </w:r>
            <w:r>
              <w:rPr>
                <w:noProof/>
                <w:webHidden/>
              </w:rPr>
              <w:fldChar w:fldCharType="separate"/>
            </w:r>
            <w:r>
              <w:rPr>
                <w:noProof/>
                <w:webHidden/>
              </w:rPr>
              <w:t>4</w:t>
            </w:r>
            <w:r>
              <w:rPr>
                <w:noProof/>
                <w:webHidden/>
              </w:rPr>
              <w:fldChar w:fldCharType="end"/>
            </w:r>
          </w:hyperlink>
        </w:p>
        <w:p w14:paraId="153073D7" w14:textId="56106304" w:rsidR="000F4695" w:rsidRDefault="000F4695">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5515006" w:history="1">
            <w:r w:rsidRPr="00F86FE6">
              <w:rPr>
                <w:rStyle w:val="Hipervnculo"/>
                <w:rFonts w:ascii="Open Sans" w:hAnsi="Open Sans" w:cs="Open Sans"/>
                <w:noProof/>
              </w:rPr>
              <w:t>2. Resultados financieros</w:t>
            </w:r>
            <w:r>
              <w:rPr>
                <w:noProof/>
                <w:webHidden/>
              </w:rPr>
              <w:tab/>
            </w:r>
            <w:r>
              <w:rPr>
                <w:noProof/>
                <w:webHidden/>
              </w:rPr>
              <w:fldChar w:fldCharType="begin"/>
            </w:r>
            <w:r>
              <w:rPr>
                <w:noProof/>
                <w:webHidden/>
              </w:rPr>
              <w:instrText xml:space="preserve"> PAGEREF _Toc225515006 \h </w:instrText>
            </w:r>
            <w:r>
              <w:rPr>
                <w:noProof/>
                <w:webHidden/>
              </w:rPr>
            </w:r>
            <w:r>
              <w:rPr>
                <w:noProof/>
                <w:webHidden/>
              </w:rPr>
              <w:fldChar w:fldCharType="separate"/>
            </w:r>
            <w:r>
              <w:rPr>
                <w:noProof/>
                <w:webHidden/>
              </w:rPr>
              <w:t>8</w:t>
            </w:r>
            <w:r>
              <w:rPr>
                <w:noProof/>
                <w:webHidden/>
              </w:rPr>
              <w:fldChar w:fldCharType="end"/>
            </w:r>
          </w:hyperlink>
        </w:p>
        <w:p w14:paraId="7ED8A8E9" w14:textId="7A854870" w:rsidR="000F4695" w:rsidRDefault="000F4695">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5515007" w:history="1">
            <w:r>
              <w:rPr>
                <w:noProof/>
                <w:webHidden/>
              </w:rPr>
              <w:tab/>
            </w:r>
            <w:r>
              <w:rPr>
                <w:noProof/>
                <w:webHidden/>
              </w:rPr>
              <w:fldChar w:fldCharType="begin"/>
            </w:r>
            <w:r>
              <w:rPr>
                <w:noProof/>
                <w:webHidden/>
              </w:rPr>
              <w:instrText xml:space="preserve"> PAGEREF _Toc225515007 \h </w:instrText>
            </w:r>
            <w:r>
              <w:rPr>
                <w:noProof/>
                <w:webHidden/>
              </w:rPr>
            </w:r>
            <w:r>
              <w:rPr>
                <w:noProof/>
                <w:webHidden/>
              </w:rPr>
              <w:fldChar w:fldCharType="separate"/>
            </w:r>
            <w:r>
              <w:rPr>
                <w:noProof/>
                <w:webHidden/>
              </w:rPr>
              <w:t>8</w:t>
            </w:r>
            <w:r>
              <w:rPr>
                <w:noProof/>
                <w:webHidden/>
              </w:rPr>
              <w:fldChar w:fldCharType="end"/>
            </w:r>
          </w:hyperlink>
        </w:p>
        <w:p w14:paraId="58D5007C" w14:textId="2DD7F6AF" w:rsidR="000F4695" w:rsidRDefault="000F4695">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5515008" w:history="1">
            <w:r w:rsidRPr="00F86FE6">
              <w:rPr>
                <w:rStyle w:val="Hipervnculo"/>
                <w:rFonts w:ascii="Open Sans" w:hAnsi="Open Sans" w:cs="Open Sans"/>
                <w:noProof/>
              </w:rPr>
              <w:t>3. Retos y Oportunidades</w:t>
            </w:r>
            <w:r>
              <w:rPr>
                <w:noProof/>
                <w:webHidden/>
              </w:rPr>
              <w:tab/>
            </w:r>
            <w:r>
              <w:rPr>
                <w:noProof/>
                <w:webHidden/>
              </w:rPr>
              <w:fldChar w:fldCharType="begin"/>
            </w:r>
            <w:r>
              <w:rPr>
                <w:noProof/>
                <w:webHidden/>
              </w:rPr>
              <w:instrText xml:space="preserve"> PAGEREF _Toc225515008 \h </w:instrText>
            </w:r>
            <w:r>
              <w:rPr>
                <w:noProof/>
                <w:webHidden/>
              </w:rPr>
            </w:r>
            <w:r>
              <w:rPr>
                <w:noProof/>
                <w:webHidden/>
              </w:rPr>
              <w:fldChar w:fldCharType="separate"/>
            </w:r>
            <w:r>
              <w:rPr>
                <w:noProof/>
                <w:webHidden/>
              </w:rPr>
              <w:t>11</w:t>
            </w:r>
            <w:r>
              <w:rPr>
                <w:noProof/>
                <w:webHidden/>
              </w:rPr>
              <w:fldChar w:fldCharType="end"/>
            </w:r>
          </w:hyperlink>
        </w:p>
        <w:p w14:paraId="7E80690A" w14:textId="3A1311F0" w:rsidR="000F4695" w:rsidRDefault="000F4695">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5515009" w:history="1">
            <w:r w:rsidRPr="00F86FE6">
              <w:rPr>
                <w:rStyle w:val="Hipervnculo"/>
                <w:rFonts w:ascii="Open Sans" w:hAnsi="Open Sans" w:cs="Open Sans"/>
                <w:noProof/>
              </w:rPr>
              <w:t>II. SÍNTESIS Y PROYECCIONES INSTITUCIONALES 2026</w:t>
            </w:r>
            <w:r>
              <w:rPr>
                <w:noProof/>
                <w:webHidden/>
              </w:rPr>
              <w:tab/>
            </w:r>
            <w:r>
              <w:rPr>
                <w:noProof/>
                <w:webHidden/>
              </w:rPr>
              <w:fldChar w:fldCharType="begin"/>
            </w:r>
            <w:r>
              <w:rPr>
                <w:noProof/>
                <w:webHidden/>
              </w:rPr>
              <w:instrText xml:space="preserve"> PAGEREF _Toc225515009 \h </w:instrText>
            </w:r>
            <w:r>
              <w:rPr>
                <w:noProof/>
                <w:webHidden/>
              </w:rPr>
            </w:r>
            <w:r>
              <w:rPr>
                <w:noProof/>
                <w:webHidden/>
              </w:rPr>
              <w:fldChar w:fldCharType="separate"/>
            </w:r>
            <w:r>
              <w:rPr>
                <w:noProof/>
                <w:webHidden/>
              </w:rPr>
              <w:t>13</w:t>
            </w:r>
            <w:r>
              <w:rPr>
                <w:noProof/>
                <w:webHidden/>
              </w:rPr>
              <w:fldChar w:fldCharType="end"/>
            </w:r>
          </w:hyperlink>
        </w:p>
        <w:p w14:paraId="1F4A963A" w14:textId="1361263B" w:rsidR="000F4695" w:rsidRDefault="000F4695">
          <w:pPr>
            <w:pStyle w:val="TDC2"/>
            <w:tabs>
              <w:tab w:val="left" w:pos="720"/>
              <w:tab w:val="right" w:leader="dot" w:pos="9710"/>
            </w:tabs>
            <w:rPr>
              <w:rFonts w:asciiTheme="minorHAnsi" w:eastAsiaTheme="minorEastAsia" w:hAnsiTheme="minorHAnsi" w:cstheme="minorBidi"/>
              <w:noProof/>
              <w:kern w:val="2"/>
              <w:sz w:val="24"/>
              <w:szCs w:val="24"/>
              <w14:ligatures w14:val="standardContextual"/>
            </w:rPr>
          </w:pPr>
          <w:hyperlink w:anchor="_Toc225515010" w:history="1">
            <w:r w:rsidRPr="00F86FE6">
              <w:rPr>
                <w:rStyle w:val="Hipervnculo"/>
                <w:rFonts w:ascii="Open Sans" w:hAnsi="Open Sans" w:cs="Open Sans"/>
                <w:noProof/>
              </w:rPr>
              <w:t>1.</w:t>
            </w:r>
            <w:r>
              <w:rPr>
                <w:rFonts w:asciiTheme="minorHAnsi" w:eastAsiaTheme="minorEastAsia" w:hAnsiTheme="minorHAnsi" w:cstheme="minorBidi"/>
                <w:noProof/>
                <w:kern w:val="2"/>
                <w:sz w:val="24"/>
                <w:szCs w:val="24"/>
                <w14:ligatures w14:val="standardContextual"/>
              </w:rPr>
              <w:tab/>
            </w:r>
            <w:r w:rsidRPr="00F86FE6">
              <w:rPr>
                <w:rStyle w:val="Hipervnculo"/>
                <w:rFonts w:ascii="Open Sans" w:hAnsi="Open Sans" w:cs="Open Sans"/>
                <w:noProof/>
              </w:rPr>
              <w:t>Balance estratégico 2025</w:t>
            </w:r>
            <w:r>
              <w:rPr>
                <w:noProof/>
                <w:webHidden/>
              </w:rPr>
              <w:tab/>
            </w:r>
            <w:r>
              <w:rPr>
                <w:noProof/>
                <w:webHidden/>
              </w:rPr>
              <w:fldChar w:fldCharType="begin"/>
            </w:r>
            <w:r>
              <w:rPr>
                <w:noProof/>
                <w:webHidden/>
              </w:rPr>
              <w:instrText xml:space="preserve"> PAGEREF _Toc225515010 \h </w:instrText>
            </w:r>
            <w:r>
              <w:rPr>
                <w:noProof/>
                <w:webHidden/>
              </w:rPr>
            </w:r>
            <w:r>
              <w:rPr>
                <w:noProof/>
                <w:webHidden/>
              </w:rPr>
              <w:fldChar w:fldCharType="separate"/>
            </w:r>
            <w:r>
              <w:rPr>
                <w:noProof/>
                <w:webHidden/>
              </w:rPr>
              <w:t>13</w:t>
            </w:r>
            <w:r>
              <w:rPr>
                <w:noProof/>
                <w:webHidden/>
              </w:rPr>
              <w:fldChar w:fldCharType="end"/>
            </w:r>
          </w:hyperlink>
        </w:p>
        <w:p w14:paraId="0B71F0A3" w14:textId="70354468" w:rsidR="000F4695" w:rsidRDefault="000F4695">
          <w:pPr>
            <w:pStyle w:val="TDC2"/>
            <w:tabs>
              <w:tab w:val="left" w:pos="720"/>
              <w:tab w:val="right" w:leader="dot" w:pos="9710"/>
            </w:tabs>
            <w:rPr>
              <w:rFonts w:asciiTheme="minorHAnsi" w:eastAsiaTheme="minorEastAsia" w:hAnsiTheme="minorHAnsi" w:cstheme="minorBidi"/>
              <w:noProof/>
              <w:kern w:val="2"/>
              <w:sz w:val="24"/>
              <w:szCs w:val="24"/>
              <w14:ligatures w14:val="standardContextual"/>
            </w:rPr>
          </w:pPr>
          <w:hyperlink w:anchor="_Toc225515011" w:history="1">
            <w:r w:rsidRPr="00F86FE6">
              <w:rPr>
                <w:rStyle w:val="Hipervnculo"/>
                <w:rFonts w:ascii="Open Sans" w:hAnsi="Open Sans" w:cs="Open Sans"/>
                <w:noProof/>
              </w:rPr>
              <w:t>2.</w:t>
            </w:r>
            <w:r>
              <w:rPr>
                <w:rFonts w:asciiTheme="minorHAnsi" w:eastAsiaTheme="minorEastAsia" w:hAnsiTheme="minorHAnsi" w:cstheme="minorBidi"/>
                <w:noProof/>
                <w:kern w:val="2"/>
                <w:sz w:val="24"/>
                <w:szCs w:val="24"/>
                <w14:ligatures w14:val="standardContextual"/>
              </w:rPr>
              <w:tab/>
            </w:r>
            <w:r w:rsidRPr="00F86FE6">
              <w:rPr>
                <w:rStyle w:val="Hipervnculo"/>
                <w:rFonts w:ascii="Open Sans" w:hAnsi="Open Sans" w:cs="Open Sans"/>
                <w:noProof/>
              </w:rPr>
              <w:t>Proyecciones Estratégicas 2026</w:t>
            </w:r>
            <w:r>
              <w:rPr>
                <w:noProof/>
                <w:webHidden/>
              </w:rPr>
              <w:tab/>
            </w:r>
            <w:r>
              <w:rPr>
                <w:noProof/>
                <w:webHidden/>
              </w:rPr>
              <w:fldChar w:fldCharType="begin"/>
            </w:r>
            <w:r>
              <w:rPr>
                <w:noProof/>
                <w:webHidden/>
              </w:rPr>
              <w:instrText xml:space="preserve"> PAGEREF _Toc225515011 \h </w:instrText>
            </w:r>
            <w:r>
              <w:rPr>
                <w:noProof/>
                <w:webHidden/>
              </w:rPr>
            </w:r>
            <w:r>
              <w:rPr>
                <w:noProof/>
                <w:webHidden/>
              </w:rPr>
              <w:fldChar w:fldCharType="separate"/>
            </w:r>
            <w:r>
              <w:rPr>
                <w:noProof/>
                <w:webHidden/>
              </w:rPr>
              <w:t>13</w:t>
            </w:r>
            <w:r>
              <w:rPr>
                <w:noProof/>
                <w:webHidden/>
              </w:rPr>
              <w:fldChar w:fldCharType="end"/>
            </w:r>
          </w:hyperlink>
        </w:p>
        <w:p w14:paraId="382E5455" w14:textId="2D294E38" w:rsidR="006D7358" w:rsidRPr="00290685" w:rsidRDefault="006D7358" w:rsidP="0BA901D7">
          <w:pPr>
            <w:pStyle w:val="TDC2"/>
            <w:tabs>
              <w:tab w:val="right" w:leader="dot" w:pos="9705"/>
            </w:tabs>
            <w:rPr>
              <w:rStyle w:val="Hipervnculo"/>
              <w:noProof/>
              <w:kern w:val="2"/>
              <w14:ligatures w14:val="standardContextual"/>
            </w:rPr>
          </w:pPr>
          <w:r>
            <w:fldChar w:fldCharType="end"/>
          </w:r>
        </w:p>
      </w:sdtContent>
    </w:sdt>
    <w:p w14:paraId="1F1C1C63" w14:textId="64661D30" w:rsidR="006F375E" w:rsidRPr="00290685" w:rsidRDefault="006F375E">
      <w:pPr>
        <w:rPr>
          <w:rFonts w:ascii="Open Sans" w:hAnsi="Open Sans" w:cs="Open Sans"/>
        </w:rPr>
      </w:pPr>
    </w:p>
    <w:p w14:paraId="3FCD0E7A" w14:textId="77777777" w:rsidR="006F375E" w:rsidRPr="00290685" w:rsidRDefault="006F375E">
      <w:pPr>
        <w:rPr>
          <w:rFonts w:ascii="Open Sans" w:hAnsi="Open Sans" w:cs="Open Sans"/>
          <w:sz w:val="24"/>
          <w:szCs w:val="24"/>
        </w:rPr>
      </w:pPr>
    </w:p>
    <w:p w14:paraId="0256E7FA" w14:textId="77777777" w:rsidR="006F375E" w:rsidRPr="00290685" w:rsidRDefault="006F375E">
      <w:pPr>
        <w:rPr>
          <w:rFonts w:ascii="Open Sans" w:hAnsi="Open Sans" w:cs="Open Sans"/>
          <w:sz w:val="24"/>
          <w:szCs w:val="24"/>
        </w:rPr>
      </w:pPr>
    </w:p>
    <w:p w14:paraId="438256BF" w14:textId="77777777" w:rsidR="006F375E" w:rsidRPr="00290685" w:rsidRDefault="006F375E">
      <w:pPr>
        <w:rPr>
          <w:rFonts w:ascii="Open Sans" w:hAnsi="Open Sans" w:cs="Open Sans"/>
          <w:sz w:val="24"/>
          <w:szCs w:val="24"/>
        </w:rPr>
      </w:pPr>
    </w:p>
    <w:p w14:paraId="035ADB7E" w14:textId="77777777" w:rsidR="006F375E" w:rsidRPr="00290685" w:rsidRDefault="006F375E">
      <w:pPr>
        <w:rPr>
          <w:rFonts w:ascii="Open Sans" w:hAnsi="Open Sans" w:cs="Open Sans"/>
          <w:sz w:val="24"/>
          <w:szCs w:val="24"/>
        </w:rPr>
      </w:pPr>
    </w:p>
    <w:p w14:paraId="3EF21119" w14:textId="77777777" w:rsidR="006F375E" w:rsidRDefault="006F375E">
      <w:pPr>
        <w:rPr>
          <w:rFonts w:ascii="Open Sans" w:hAnsi="Open Sans" w:cs="Open Sans"/>
          <w:sz w:val="24"/>
          <w:szCs w:val="24"/>
        </w:rPr>
      </w:pPr>
    </w:p>
    <w:p w14:paraId="740DC6EF" w14:textId="77777777" w:rsidR="00FD1199" w:rsidRDefault="00FD1199">
      <w:pPr>
        <w:rPr>
          <w:rFonts w:ascii="Open Sans" w:hAnsi="Open Sans" w:cs="Open Sans"/>
          <w:sz w:val="24"/>
          <w:szCs w:val="24"/>
        </w:rPr>
      </w:pPr>
    </w:p>
    <w:p w14:paraId="5AD38FF3" w14:textId="77777777" w:rsidR="00FD1199" w:rsidRDefault="00FD1199">
      <w:pPr>
        <w:rPr>
          <w:rFonts w:ascii="Open Sans" w:hAnsi="Open Sans" w:cs="Open Sans"/>
          <w:sz w:val="24"/>
          <w:szCs w:val="24"/>
        </w:rPr>
      </w:pPr>
    </w:p>
    <w:p w14:paraId="7F135C2D" w14:textId="77777777" w:rsidR="00FD1199" w:rsidRDefault="00FD1199">
      <w:pPr>
        <w:rPr>
          <w:rFonts w:ascii="Open Sans" w:hAnsi="Open Sans" w:cs="Open Sans"/>
          <w:sz w:val="24"/>
          <w:szCs w:val="24"/>
        </w:rPr>
      </w:pPr>
    </w:p>
    <w:p w14:paraId="15CF12DB" w14:textId="77777777" w:rsidR="00FD1199" w:rsidRDefault="00FD1199">
      <w:pPr>
        <w:rPr>
          <w:rFonts w:ascii="Open Sans" w:hAnsi="Open Sans" w:cs="Open Sans"/>
          <w:sz w:val="24"/>
          <w:szCs w:val="24"/>
        </w:rPr>
      </w:pPr>
    </w:p>
    <w:p w14:paraId="2E1FD0CF" w14:textId="77777777" w:rsidR="00FD1199" w:rsidRDefault="00FD1199">
      <w:pPr>
        <w:rPr>
          <w:rFonts w:ascii="Open Sans" w:hAnsi="Open Sans" w:cs="Open Sans"/>
          <w:sz w:val="24"/>
          <w:szCs w:val="24"/>
        </w:rPr>
      </w:pPr>
    </w:p>
    <w:p w14:paraId="5DBFE58A" w14:textId="77777777" w:rsidR="00FD1199" w:rsidRDefault="00FD1199">
      <w:pPr>
        <w:rPr>
          <w:rFonts w:ascii="Open Sans" w:hAnsi="Open Sans" w:cs="Open Sans"/>
          <w:sz w:val="24"/>
          <w:szCs w:val="24"/>
        </w:rPr>
      </w:pPr>
    </w:p>
    <w:p w14:paraId="1692B2B0" w14:textId="77777777" w:rsidR="00FD1199" w:rsidRDefault="00FD1199">
      <w:pPr>
        <w:rPr>
          <w:rFonts w:ascii="Open Sans" w:hAnsi="Open Sans" w:cs="Open Sans"/>
          <w:sz w:val="24"/>
          <w:szCs w:val="24"/>
        </w:rPr>
      </w:pPr>
    </w:p>
    <w:p w14:paraId="1B02EE4F" w14:textId="77777777" w:rsidR="00FD1199" w:rsidRDefault="00FD1199">
      <w:pPr>
        <w:rPr>
          <w:rFonts w:ascii="Open Sans" w:hAnsi="Open Sans" w:cs="Open Sans"/>
          <w:sz w:val="24"/>
          <w:szCs w:val="24"/>
        </w:rPr>
      </w:pPr>
    </w:p>
    <w:p w14:paraId="0C22C5FE" w14:textId="77777777" w:rsidR="00FD1199" w:rsidRPr="00290685" w:rsidRDefault="00FD1199">
      <w:pPr>
        <w:rPr>
          <w:rFonts w:ascii="Open Sans" w:hAnsi="Open Sans" w:cs="Open Sans"/>
          <w:sz w:val="24"/>
          <w:szCs w:val="24"/>
        </w:rPr>
      </w:pPr>
    </w:p>
    <w:p w14:paraId="36EE1138" w14:textId="77777777" w:rsidR="006F375E" w:rsidRDefault="006F375E">
      <w:pPr>
        <w:rPr>
          <w:rFonts w:ascii="Open Sans" w:hAnsi="Open Sans" w:cs="Open Sans"/>
          <w:sz w:val="24"/>
          <w:szCs w:val="24"/>
        </w:rPr>
      </w:pPr>
    </w:p>
    <w:p w14:paraId="5C5A17FD" w14:textId="77777777" w:rsidR="004442A1" w:rsidRPr="00290685" w:rsidRDefault="004442A1">
      <w:pPr>
        <w:rPr>
          <w:rFonts w:ascii="Open Sans" w:hAnsi="Open Sans" w:cs="Open Sans"/>
          <w:sz w:val="24"/>
          <w:szCs w:val="24"/>
        </w:rPr>
      </w:pPr>
    </w:p>
    <w:p w14:paraId="2B32BEDA" w14:textId="77777777" w:rsidR="006F375E" w:rsidRPr="00290685" w:rsidRDefault="006F375E">
      <w:pPr>
        <w:rPr>
          <w:rFonts w:ascii="Open Sans" w:hAnsi="Open Sans" w:cs="Open Sans"/>
          <w:sz w:val="24"/>
          <w:szCs w:val="24"/>
        </w:rPr>
      </w:pPr>
    </w:p>
    <w:p w14:paraId="5CF486A6" w14:textId="77777777" w:rsidR="006F375E" w:rsidRPr="00290685" w:rsidRDefault="006F375E">
      <w:pPr>
        <w:rPr>
          <w:rFonts w:ascii="Open Sans" w:hAnsi="Open Sans" w:cs="Open Sans"/>
          <w:sz w:val="24"/>
          <w:szCs w:val="24"/>
        </w:rPr>
      </w:pPr>
    </w:p>
    <w:p w14:paraId="131C6DC4" w14:textId="77777777" w:rsidR="006F375E" w:rsidRPr="00290685" w:rsidRDefault="006F375E">
      <w:pPr>
        <w:rPr>
          <w:rFonts w:ascii="Open Sans" w:hAnsi="Open Sans" w:cs="Open Sans"/>
          <w:sz w:val="24"/>
          <w:szCs w:val="24"/>
        </w:rPr>
      </w:pPr>
    </w:p>
    <w:p w14:paraId="08F7431C" w14:textId="77777777" w:rsidR="006F375E" w:rsidRPr="00290685" w:rsidRDefault="006F375E">
      <w:pPr>
        <w:rPr>
          <w:rFonts w:ascii="Open Sans" w:hAnsi="Open Sans" w:cs="Open Sans"/>
          <w:sz w:val="24"/>
          <w:szCs w:val="24"/>
        </w:rPr>
      </w:pPr>
    </w:p>
    <w:p w14:paraId="07DB6738" w14:textId="77777777" w:rsidR="006F375E" w:rsidRPr="00290685" w:rsidRDefault="006F375E">
      <w:pPr>
        <w:rPr>
          <w:rFonts w:ascii="Open Sans" w:hAnsi="Open Sans" w:cs="Open Sans"/>
          <w:sz w:val="24"/>
          <w:szCs w:val="24"/>
        </w:rPr>
      </w:pPr>
    </w:p>
    <w:p w14:paraId="13073E88" w14:textId="77777777" w:rsidR="006F375E" w:rsidRPr="00290685" w:rsidRDefault="006F375E">
      <w:pPr>
        <w:rPr>
          <w:rFonts w:ascii="Open Sans" w:hAnsi="Open Sans" w:cs="Open Sans"/>
          <w:sz w:val="24"/>
          <w:szCs w:val="24"/>
        </w:rPr>
      </w:pPr>
    </w:p>
    <w:p w14:paraId="6D5E0237" w14:textId="77777777" w:rsidR="006F375E" w:rsidRPr="00290685" w:rsidRDefault="006F375E">
      <w:pPr>
        <w:rPr>
          <w:rFonts w:ascii="Open Sans" w:hAnsi="Open Sans" w:cs="Open Sans"/>
          <w:sz w:val="24"/>
          <w:szCs w:val="24"/>
        </w:rPr>
      </w:pPr>
    </w:p>
    <w:p w14:paraId="24141062" w14:textId="77777777" w:rsidR="00FD1199" w:rsidRDefault="00FD1199" w:rsidP="0BA901D7">
      <w:pPr>
        <w:pStyle w:val="Ttulo1"/>
        <w:pBdr>
          <w:bottom w:val="single" w:sz="8" w:space="4" w:color="1F5C99"/>
        </w:pBdr>
        <w:rPr>
          <w:rFonts w:ascii="Open Sans" w:hAnsi="Open Sans" w:cs="Open Sans"/>
          <w:sz w:val="24"/>
          <w:szCs w:val="24"/>
        </w:rPr>
      </w:pPr>
    </w:p>
    <w:p w14:paraId="2C130332" w14:textId="1ECC70E7" w:rsidR="006F375E" w:rsidRPr="00290685" w:rsidRDefault="2B5E38AD" w:rsidP="0BA901D7">
      <w:pPr>
        <w:pStyle w:val="Ttulo1"/>
        <w:pBdr>
          <w:bottom w:val="single" w:sz="8" w:space="4" w:color="1F5C99"/>
        </w:pBdr>
        <w:rPr>
          <w:rFonts w:ascii="Open Sans" w:hAnsi="Open Sans" w:cs="Open Sans"/>
          <w:sz w:val="24"/>
          <w:szCs w:val="24"/>
        </w:rPr>
      </w:pPr>
      <w:bookmarkStart w:id="0" w:name="_Toc225515003"/>
      <w:r w:rsidRPr="0BA901D7">
        <w:rPr>
          <w:rFonts w:ascii="Open Sans" w:hAnsi="Open Sans" w:cs="Open Sans"/>
          <w:sz w:val="24"/>
          <w:szCs w:val="24"/>
        </w:rPr>
        <w:t>INTRODUCCIÓN</w:t>
      </w:r>
      <w:bookmarkEnd w:id="0"/>
    </w:p>
    <w:p w14:paraId="6127C596" w14:textId="77777777" w:rsidR="00FD1199" w:rsidRPr="00FD1199" w:rsidRDefault="00FD1199" w:rsidP="00FD1199">
      <w:pPr>
        <w:spacing w:before="60" w:after="100"/>
        <w:jc w:val="both"/>
        <w:rPr>
          <w:rFonts w:ascii="Open Sans" w:hAnsi="Open Sans" w:cs="Open Sans"/>
          <w:color w:val="444444"/>
          <w:sz w:val="24"/>
          <w:szCs w:val="24"/>
        </w:rPr>
      </w:pPr>
      <w:r w:rsidRPr="00FD1199">
        <w:rPr>
          <w:rFonts w:ascii="Open Sans" w:hAnsi="Open Sans" w:cs="Open Sans"/>
          <w:color w:val="444444"/>
          <w:sz w:val="24"/>
          <w:szCs w:val="24"/>
        </w:rPr>
        <w:t>La Vicerrectoría Administrativa y Financiera (VAF) de la Universidad de Santander presenta su Informe de Gestión 2025, documento que da cuenta del desempeño alcanzado en su rol como habilitador estratégico de las funciones sustantivas de Enseñanza, Investigación y Extensión. La VAF actúa bajo un ciclo de mejora continua, garantizando que cada recurso cumpla con criterios de eficiencia y eficacia, soporte misional y sostenibilidad integral, incorporando la responsabilidad ambiental y social en la toma de decisiones financieras y operativas.</w:t>
      </w:r>
    </w:p>
    <w:p w14:paraId="4DD3F8AA" w14:textId="77777777" w:rsidR="00FD1199" w:rsidRPr="00FD1199" w:rsidRDefault="00FD1199" w:rsidP="00FD1199">
      <w:pPr>
        <w:spacing w:before="60" w:after="100"/>
        <w:jc w:val="both"/>
        <w:rPr>
          <w:rFonts w:ascii="Open Sans" w:hAnsi="Open Sans" w:cs="Open Sans"/>
          <w:color w:val="444444"/>
          <w:sz w:val="24"/>
          <w:szCs w:val="24"/>
        </w:rPr>
      </w:pPr>
    </w:p>
    <w:p w14:paraId="57F75E2F" w14:textId="77777777" w:rsidR="00FD1199" w:rsidRPr="00FD1199" w:rsidRDefault="00FD1199" w:rsidP="00FD1199">
      <w:pPr>
        <w:spacing w:before="60" w:after="100"/>
        <w:jc w:val="both"/>
        <w:rPr>
          <w:rFonts w:ascii="Open Sans" w:hAnsi="Open Sans" w:cs="Open Sans"/>
          <w:color w:val="444444"/>
          <w:sz w:val="24"/>
          <w:szCs w:val="24"/>
        </w:rPr>
      </w:pPr>
      <w:r w:rsidRPr="00FD1199">
        <w:rPr>
          <w:rFonts w:ascii="Open Sans" w:hAnsi="Open Sans" w:cs="Open Sans"/>
          <w:color w:val="444444"/>
          <w:sz w:val="24"/>
          <w:szCs w:val="24"/>
        </w:rPr>
        <w:t>El año 2025 estuvo marcado por la consolidación de proyectos estratégicos de alto impacto institucional, la ampliación del Sistema de Gestión de la Calidad VAF (SGC-VAF), el fortalecimiento de la solidez financiera y el mejoramiento sostenido en la satisfacción de las partes interesadas. Los resultados que se presentan a continuación reflejan el compromiso de la VAF con una gestión orientada a resultados, con pertinencia misional y proyección hacia el 2026.</w:t>
      </w:r>
    </w:p>
    <w:p w14:paraId="01C9D94D" w14:textId="04DA02A7" w:rsidR="00F85B95" w:rsidRDefault="00F85B95" w:rsidP="002044B3">
      <w:pPr>
        <w:spacing w:before="60" w:after="100"/>
        <w:jc w:val="both"/>
        <w:rPr>
          <w:rFonts w:ascii="Open Sans" w:hAnsi="Open Sans" w:cs="Open Sans"/>
          <w:color w:val="444444"/>
          <w:sz w:val="24"/>
          <w:szCs w:val="24"/>
        </w:rPr>
      </w:pPr>
    </w:p>
    <w:p w14:paraId="65573C6B" w14:textId="77777777" w:rsidR="00FD1199" w:rsidRDefault="00FD1199" w:rsidP="002044B3">
      <w:pPr>
        <w:spacing w:before="60" w:after="100"/>
        <w:jc w:val="both"/>
        <w:rPr>
          <w:rFonts w:ascii="Open Sans" w:hAnsi="Open Sans" w:cs="Open Sans"/>
          <w:color w:val="444444"/>
          <w:sz w:val="24"/>
          <w:szCs w:val="24"/>
        </w:rPr>
      </w:pPr>
    </w:p>
    <w:p w14:paraId="6252DE45" w14:textId="77777777" w:rsidR="00FD1199" w:rsidRDefault="00FD1199" w:rsidP="002044B3">
      <w:pPr>
        <w:spacing w:before="60" w:after="100"/>
        <w:jc w:val="both"/>
        <w:rPr>
          <w:rFonts w:ascii="Open Sans" w:hAnsi="Open Sans" w:cs="Open Sans"/>
          <w:color w:val="444444"/>
          <w:sz w:val="24"/>
          <w:szCs w:val="24"/>
        </w:rPr>
      </w:pPr>
    </w:p>
    <w:p w14:paraId="7B414AAF" w14:textId="286DF7B0" w:rsidR="00FD1199" w:rsidRPr="00FD1199" w:rsidRDefault="00FD1199" w:rsidP="00FD1199">
      <w:pPr>
        <w:spacing w:before="60"/>
        <w:jc w:val="both"/>
        <w:rPr>
          <w:rFonts w:ascii="Open Sans" w:hAnsi="Open Sans" w:cs="Open Sans"/>
          <w:b/>
          <w:bCs/>
          <w:color w:val="444444"/>
          <w:sz w:val="24"/>
          <w:szCs w:val="24"/>
        </w:rPr>
      </w:pPr>
      <w:r w:rsidRPr="00FD1199">
        <w:rPr>
          <w:rFonts w:ascii="Open Sans" w:hAnsi="Open Sans" w:cs="Open Sans"/>
          <w:b/>
          <w:bCs/>
          <w:color w:val="444444"/>
          <w:sz w:val="24"/>
          <w:szCs w:val="24"/>
        </w:rPr>
        <w:t>Omaira Nelly Buitrago Bohorquez</w:t>
      </w:r>
    </w:p>
    <w:p w14:paraId="012ACCA0" w14:textId="61070EF7" w:rsidR="00FD1199" w:rsidRDefault="00FD1199" w:rsidP="00FD1199">
      <w:pPr>
        <w:spacing w:before="60"/>
        <w:jc w:val="both"/>
        <w:rPr>
          <w:rFonts w:ascii="Open Sans" w:hAnsi="Open Sans" w:cs="Open Sans"/>
          <w:color w:val="444444"/>
          <w:sz w:val="24"/>
          <w:szCs w:val="24"/>
        </w:rPr>
      </w:pPr>
      <w:r>
        <w:rPr>
          <w:rFonts w:ascii="Open Sans" w:hAnsi="Open Sans" w:cs="Open Sans"/>
          <w:color w:val="444444"/>
          <w:sz w:val="24"/>
          <w:szCs w:val="24"/>
        </w:rPr>
        <w:t>Vicerrectora Administrativa y Financiera</w:t>
      </w:r>
    </w:p>
    <w:p w14:paraId="391ED783" w14:textId="43BBEACB" w:rsidR="00FD1199" w:rsidRPr="00290685" w:rsidRDefault="00FD1199" w:rsidP="00FD1199">
      <w:pPr>
        <w:spacing w:before="60"/>
        <w:jc w:val="both"/>
        <w:rPr>
          <w:rFonts w:ascii="Open Sans" w:hAnsi="Open Sans" w:cs="Open Sans"/>
          <w:color w:val="444444"/>
          <w:sz w:val="24"/>
          <w:szCs w:val="24"/>
        </w:rPr>
      </w:pPr>
      <w:r>
        <w:rPr>
          <w:rFonts w:ascii="Open Sans" w:hAnsi="Open Sans" w:cs="Open Sans"/>
          <w:color w:val="444444"/>
          <w:sz w:val="24"/>
          <w:szCs w:val="24"/>
        </w:rPr>
        <w:t>Universidad de Santander</w:t>
      </w:r>
    </w:p>
    <w:p w14:paraId="49AE4FF7" w14:textId="77777777" w:rsidR="00F85B95" w:rsidRPr="00290685" w:rsidRDefault="00F85B95" w:rsidP="00FD1199">
      <w:pPr>
        <w:rPr>
          <w:rFonts w:ascii="Open Sans" w:hAnsi="Open Sans" w:cs="Open Sans"/>
          <w:color w:val="444444"/>
          <w:sz w:val="24"/>
          <w:szCs w:val="24"/>
        </w:rPr>
      </w:pPr>
      <w:r w:rsidRPr="00290685">
        <w:rPr>
          <w:rFonts w:ascii="Open Sans" w:hAnsi="Open Sans" w:cs="Open Sans"/>
          <w:color w:val="444444"/>
          <w:sz w:val="24"/>
          <w:szCs w:val="24"/>
        </w:rPr>
        <w:br w:type="page"/>
      </w:r>
    </w:p>
    <w:p w14:paraId="5F19AEA2" w14:textId="23A6FB4A" w:rsidR="00BA560D" w:rsidRPr="00290685" w:rsidRDefault="00BA560D" w:rsidP="0BA901D7">
      <w:pPr>
        <w:pStyle w:val="Ttulo1"/>
        <w:pBdr>
          <w:bottom w:val="single" w:sz="6" w:space="4" w:color="2E75B6"/>
        </w:pBdr>
        <w:rPr>
          <w:rFonts w:ascii="Open Sans" w:hAnsi="Open Sans" w:cs="Open Sans"/>
        </w:rPr>
      </w:pPr>
      <w:bookmarkStart w:id="1" w:name="_Toc225515004"/>
      <w:r w:rsidRPr="0BA901D7">
        <w:rPr>
          <w:rFonts w:ascii="Open Sans" w:hAnsi="Open Sans" w:cs="Open Sans"/>
          <w:color w:val="1F3864"/>
          <w:sz w:val="28"/>
          <w:szCs w:val="28"/>
        </w:rPr>
        <w:lastRenderedPageBreak/>
        <w:t>I. GESTIÓN ADMINISTRATIVA Y FINANCIERA</w:t>
      </w:r>
      <w:bookmarkEnd w:id="1"/>
    </w:p>
    <w:p w14:paraId="05CEF5E4" w14:textId="4D05252E" w:rsidR="00BA560D" w:rsidRPr="00290685" w:rsidRDefault="00503429" w:rsidP="009A2F30">
      <w:pPr>
        <w:spacing w:before="60" w:after="100"/>
        <w:jc w:val="both"/>
        <w:rPr>
          <w:rFonts w:ascii="Open Sans" w:hAnsi="Open Sans" w:cs="Open Sans"/>
          <w:sz w:val="24"/>
          <w:szCs w:val="24"/>
        </w:rPr>
      </w:pPr>
      <w:r w:rsidRPr="00290685">
        <w:rPr>
          <w:rFonts w:ascii="Open Sans" w:hAnsi="Open Sans" w:cs="Open Sans"/>
          <w:color w:val="444444"/>
          <w:sz w:val="24"/>
          <w:szCs w:val="24"/>
        </w:rPr>
        <w:t>La Vicerrectoría Administrativa y Financiera (VAF) actúa como habilitador estratégico que transforma la gestión de recursos en herramientas tangibles para la enseñanza, la investigación y la extensión, asegurando que la visión de la UDES se convierta en realidad.</w:t>
      </w:r>
      <w:r w:rsidR="005264B8" w:rsidRPr="00290685">
        <w:rPr>
          <w:rFonts w:ascii="Open Sans" w:hAnsi="Open Sans" w:cs="Open Sans"/>
          <w:color w:val="444444"/>
          <w:sz w:val="24"/>
          <w:szCs w:val="24"/>
        </w:rPr>
        <w:t xml:space="preserve"> </w:t>
      </w:r>
      <w:r w:rsidR="00BA560D" w:rsidRPr="00290685">
        <w:rPr>
          <w:rFonts w:ascii="Open Sans" w:hAnsi="Open Sans" w:cs="Open Sans"/>
          <w:color w:val="444444"/>
          <w:sz w:val="24"/>
          <w:szCs w:val="24"/>
        </w:rPr>
        <w:t>La VAF actúa bajo un ciclo de mejora continua, garantizando que cada recurso cumpla con criterios de eficiencia y eficacia, soporte misional y sostenibilidad integral</w:t>
      </w:r>
      <w:r w:rsidR="005264B8" w:rsidRPr="00290685">
        <w:rPr>
          <w:rFonts w:ascii="Open Sans" w:hAnsi="Open Sans" w:cs="Open Sans"/>
          <w:color w:val="444444"/>
          <w:sz w:val="24"/>
          <w:szCs w:val="24"/>
        </w:rPr>
        <w:t xml:space="preserve">, </w:t>
      </w:r>
      <w:r w:rsidR="00BA560D" w:rsidRPr="00290685">
        <w:rPr>
          <w:rFonts w:ascii="Open Sans" w:hAnsi="Open Sans" w:cs="Open Sans"/>
          <w:color w:val="444444"/>
          <w:sz w:val="24"/>
          <w:szCs w:val="24"/>
        </w:rPr>
        <w:t>incorporando la responsabilidad ambiental y social en la toma de decisiones financieras y operativas</w:t>
      </w:r>
      <w:r w:rsidR="009A2F30" w:rsidRPr="00290685">
        <w:rPr>
          <w:rFonts w:ascii="Open Sans" w:hAnsi="Open Sans" w:cs="Open Sans"/>
          <w:color w:val="444444"/>
          <w:sz w:val="24"/>
          <w:szCs w:val="24"/>
        </w:rPr>
        <w:t xml:space="preserve"> (Figura </w:t>
      </w:r>
      <w:r w:rsidR="00364FF8">
        <w:rPr>
          <w:rFonts w:ascii="Open Sans" w:hAnsi="Open Sans" w:cs="Open Sans"/>
          <w:color w:val="444444"/>
          <w:sz w:val="24"/>
          <w:szCs w:val="24"/>
        </w:rPr>
        <w:t>1</w:t>
      </w:r>
      <w:r w:rsidR="009A2F30" w:rsidRPr="00290685">
        <w:rPr>
          <w:rFonts w:ascii="Open Sans" w:hAnsi="Open Sans" w:cs="Open Sans"/>
          <w:color w:val="444444"/>
          <w:sz w:val="24"/>
          <w:szCs w:val="24"/>
        </w:rPr>
        <w:t>).</w:t>
      </w:r>
    </w:p>
    <w:p w14:paraId="16D10F41" w14:textId="77777777" w:rsidR="005264B8" w:rsidRPr="00290685" w:rsidRDefault="005264B8" w:rsidP="00BA560D">
      <w:pPr>
        <w:spacing w:before="80" w:after="80"/>
        <w:jc w:val="both"/>
        <w:rPr>
          <w:rFonts w:ascii="Open Sans" w:hAnsi="Open Sans" w:cs="Open Sans"/>
          <w:color w:val="333333"/>
        </w:rPr>
      </w:pPr>
    </w:p>
    <w:p w14:paraId="1118A758" w14:textId="77777777" w:rsidR="005264B8" w:rsidRPr="00290685" w:rsidRDefault="005264B8" w:rsidP="005264B8">
      <w:pPr>
        <w:pStyle w:val="Ttulo2"/>
        <w:rPr>
          <w:rFonts w:ascii="Open Sans" w:hAnsi="Open Sans" w:cs="Open Sans"/>
          <w:sz w:val="24"/>
          <w:szCs w:val="24"/>
        </w:rPr>
      </w:pPr>
      <w:bookmarkStart w:id="2" w:name="_Toc225515005"/>
      <w:r w:rsidRPr="0BA901D7">
        <w:rPr>
          <w:rFonts w:ascii="Open Sans" w:hAnsi="Open Sans" w:cs="Open Sans"/>
          <w:sz w:val="24"/>
          <w:szCs w:val="24"/>
        </w:rPr>
        <w:t>1. Resultados por Pilares Institucionales</w:t>
      </w:r>
      <w:bookmarkEnd w:id="2"/>
    </w:p>
    <w:p w14:paraId="175839E9" w14:textId="637BF332" w:rsidR="005264B8" w:rsidRDefault="005264B8" w:rsidP="005264B8">
      <w:pPr>
        <w:spacing w:before="80" w:after="80"/>
        <w:jc w:val="both"/>
        <w:rPr>
          <w:rFonts w:ascii="Open Sans" w:hAnsi="Open Sans" w:cs="Open Sans"/>
          <w:color w:val="333333"/>
          <w:sz w:val="24"/>
          <w:szCs w:val="24"/>
        </w:rPr>
      </w:pPr>
      <w:r w:rsidRPr="00290685">
        <w:rPr>
          <w:rFonts w:ascii="Open Sans" w:hAnsi="Open Sans" w:cs="Open Sans"/>
          <w:color w:val="333333"/>
          <w:sz w:val="24"/>
          <w:szCs w:val="24"/>
        </w:rPr>
        <w:t>La gestión de la Vicerrectoría Administrativa y Financiera se articula de manera transversal con los seis Pilares Estratégicos del modelo</w:t>
      </w:r>
      <w:r w:rsidR="006E7B0E" w:rsidRPr="00290685">
        <w:rPr>
          <w:rFonts w:ascii="Open Sans" w:hAnsi="Open Sans" w:cs="Open Sans"/>
          <w:color w:val="333333"/>
          <w:sz w:val="24"/>
          <w:szCs w:val="24"/>
        </w:rPr>
        <w:t xml:space="preserve"> de planeación</w:t>
      </w:r>
      <w:r w:rsidRPr="00290685">
        <w:rPr>
          <w:rFonts w:ascii="Open Sans" w:hAnsi="Open Sans" w:cs="Open Sans"/>
          <w:color w:val="333333"/>
          <w:sz w:val="24"/>
          <w:szCs w:val="24"/>
        </w:rPr>
        <w:t xml:space="preserve"> institucional UDES, actuando como soporte habilitador de las funciones sustantivas de Investigación, Extensión y Enseñanza. A continuación, se presenta la correspondencia entre los resultados VAF 2025 y cada pilar</w:t>
      </w:r>
      <w:r w:rsidR="006E7B0E" w:rsidRPr="00290685">
        <w:rPr>
          <w:rFonts w:ascii="Open Sans" w:hAnsi="Open Sans" w:cs="Open Sans"/>
          <w:color w:val="333333"/>
          <w:sz w:val="24"/>
          <w:szCs w:val="24"/>
        </w:rPr>
        <w:t xml:space="preserve"> estratégico</w:t>
      </w:r>
      <w:r w:rsidRPr="00290685">
        <w:rPr>
          <w:rFonts w:ascii="Open Sans" w:hAnsi="Open Sans" w:cs="Open Sans"/>
          <w:color w:val="333333"/>
          <w:sz w:val="24"/>
          <w:szCs w:val="24"/>
        </w:rPr>
        <w:t>:</w:t>
      </w:r>
    </w:p>
    <w:p w14:paraId="32B9EF07" w14:textId="77777777" w:rsidR="00FD1199" w:rsidRPr="00290685" w:rsidRDefault="00FD1199" w:rsidP="005264B8">
      <w:pPr>
        <w:spacing w:before="80" w:after="80"/>
        <w:jc w:val="both"/>
        <w:rPr>
          <w:rFonts w:ascii="Open Sans" w:hAnsi="Open Sans" w:cs="Open Sans"/>
          <w:color w:val="333333"/>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64B8" w:rsidRPr="00290685" w14:paraId="2FB829C1" w14:textId="77777777" w:rsidTr="00566AA1">
        <w:tc>
          <w:tcPr>
            <w:tcW w:w="9360" w:type="dxa"/>
            <w:tcBorders>
              <w:top w:val="single" w:sz="1" w:space="0" w:color="AACCEE"/>
              <w:left w:val="single" w:sz="1" w:space="0" w:color="AACCEE"/>
              <w:bottom w:val="single" w:sz="1" w:space="0" w:color="AACCEE"/>
              <w:right w:val="single" w:sz="1" w:space="0" w:color="AACCEE"/>
            </w:tcBorders>
            <w:shd w:val="clear" w:color="auto" w:fill="D6E4F0"/>
            <w:tcMar>
              <w:top w:w="100" w:type="dxa"/>
              <w:left w:w="180" w:type="dxa"/>
              <w:bottom w:w="100" w:type="dxa"/>
              <w:right w:w="180" w:type="dxa"/>
            </w:tcMar>
          </w:tcPr>
          <w:p w14:paraId="0075512F" w14:textId="3B7F967A" w:rsidR="005264B8" w:rsidRPr="00290685" w:rsidRDefault="005264B8" w:rsidP="00566AA1">
            <w:pPr>
              <w:rPr>
                <w:rFonts w:ascii="Open Sans" w:hAnsi="Open Sans" w:cs="Open Sans"/>
                <w:sz w:val="24"/>
                <w:szCs w:val="24"/>
              </w:rPr>
            </w:pPr>
            <w:r w:rsidRPr="00290685">
              <w:rPr>
                <w:rFonts w:ascii="Open Sans" w:hAnsi="Open Sans" w:cs="Open Sans"/>
                <w:b/>
                <w:bCs/>
                <w:color w:val="003366"/>
                <w:sz w:val="24"/>
                <w:szCs w:val="24"/>
              </w:rPr>
              <w:t xml:space="preserve">Pilar — Personalización </w:t>
            </w:r>
          </w:p>
        </w:tc>
      </w:tr>
      <w:tr w:rsidR="005264B8" w:rsidRPr="00290685" w14:paraId="2FE80F5A" w14:textId="77777777" w:rsidTr="00566AA1">
        <w:tc>
          <w:tcPr>
            <w:tcW w:w="9360" w:type="dxa"/>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4726A07F" w14:textId="625C1C13" w:rsidR="00E61403" w:rsidRPr="00290685" w:rsidRDefault="005264B8" w:rsidP="00123D70">
            <w:pPr>
              <w:jc w:val="both"/>
              <w:rPr>
                <w:rFonts w:ascii="Open Sans" w:hAnsi="Open Sans" w:cs="Open Sans"/>
                <w:sz w:val="24"/>
                <w:szCs w:val="24"/>
              </w:rPr>
            </w:pPr>
            <w:r w:rsidRPr="00290685">
              <w:rPr>
                <w:rFonts w:ascii="Open Sans" w:hAnsi="Open Sans" w:cs="Open Sans"/>
                <w:color w:val="1F5C99"/>
                <w:sz w:val="24"/>
                <w:szCs w:val="24"/>
              </w:rPr>
              <w:t xml:space="preserve">• </w:t>
            </w:r>
            <w:r w:rsidR="00672AAB" w:rsidRPr="00290685">
              <w:rPr>
                <w:rFonts w:ascii="Open Sans" w:hAnsi="Open Sans" w:cs="Open Sans"/>
                <w:color w:val="444444"/>
                <w:sz w:val="24"/>
                <w:szCs w:val="24"/>
              </w:rPr>
              <w:t>Ampliación del Sistema de Gestión de la Calidad – VAF (SGC</w:t>
            </w:r>
            <w:r w:rsidR="00672AAB" w:rsidRPr="00290685">
              <w:rPr>
                <w:rFonts w:ascii="Cambria Math" w:hAnsi="Cambria Math" w:cs="Cambria Math"/>
                <w:color w:val="444444"/>
                <w:sz w:val="24"/>
                <w:szCs w:val="24"/>
              </w:rPr>
              <w:t>‑</w:t>
            </w:r>
            <w:r w:rsidR="00672AAB" w:rsidRPr="00290685">
              <w:rPr>
                <w:rFonts w:ascii="Open Sans" w:hAnsi="Open Sans" w:cs="Open Sans"/>
                <w:color w:val="444444"/>
                <w:sz w:val="24"/>
                <w:szCs w:val="24"/>
              </w:rPr>
              <w:t>VAF)</w:t>
            </w:r>
            <w:r w:rsidRPr="00290685">
              <w:rPr>
                <w:rFonts w:ascii="Open Sans" w:hAnsi="Open Sans" w:cs="Open Sans"/>
                <w:color w:val="444444"/>
                <w:sz w:val="24"/>
                <w:szCs w:val="24"/>
              </w:rPr>
              <w:t xml:space="preserve"> a todos los subprocesos de Enseñanza (Analítica Académica, Desarrollo Profesoral, Estudiantil, Gestión Curricular, Idiomas, Autorregulación). </w:t>
            </w:r>
          </w:p>
        </w:tc>
      </w:tr>
      <w:tr w:rsidR="00123D70" w:rsidRPr="00290685" w14:paraId="11156FF3" w14:textId="77777777" w:rsidTr="00566AA1">
        <w:tc>
          <w:tcPr>
            <w:tcW w:w="9360" w:type="dxa"/>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074C318C" w14:textId="5D986C58" w:rsidR="00123D70" w:rsidRPr="00290685" w:rsidRDefault="00123D70" w:rsidP="005264B8">
            <w:pPr>
              <w:jc w:val="both"/>
              <w:rPr>
                <w:rFonts w:ascii="Open Sans" w:hAnsi="Open Sans" w:cs="Open Sans"/>
                <w:color w:val="1F5C99"/>
                <w:sz w:val="24"/>
                <w:szCs w:val="24"/>
              </w:rPr>
            </w:pPr>
            <w:r w:rsidRPr="00290685">
              <w:rPr>
                <w:rFonts w:ascii="Open Sans" w:hAnsi="Open Sans" w:cs="Open Sans"/>
                <w:color w:val="1F5C99"/>
                <w:sz w:val="24"/>
                <w:szCs w:val="24"/>
              </w:rPr>
              <w:t xml:space="preserve">• </w:t>
            </w:r>
            <w:r>
              <w:rPr>
                <w:rFonts w:ascii="Open Sans" w:hAnsi="Open Sans" w:cs="Open Sans"/>
                <w:color w:val="1F5C99"/>
                <w:sz w:val="24"/>
                <w:szCs w:val="24"/>
              </w:rPr>
              <w:t xml:space="preserve"> </w:t>
            </w:r>
            <w:r w:rsidRPr="00123D70">
              <w:rPr>
                <w:rFonts w:ascii="Open Sans" w:hAnsi="Open Sans" w:cs="Open Sans"/>
                <w:color w:val="444444"/>
                <w:sz w:val="24"/>
                <w:szCs w:val="24"/>
              </w:rPr>
              <w:t>Diseño de estrategias financieras con enfoque inclusivo para disminuir la deserción estudiantil, articuladas con el programa Regresa, la UDES te espera y con el sistema institucional de becas y descuentos, garantizando la permanencia y el acceso equitativo a la educación superior.</w:t>
            </w:r>
          </w:p>
        </w:tc>
      </w:tr>
      <w:tr w:rsidR="00123D70" w:rsidRPr="00290685" w14:paraId="158B068D" w14:textId="77777777" w:rsidTr="00566AA1">
        <w:tc>
          <w:tcPr>
            <w:tcW w:w="9360" w:type="dxa"/>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3D8AEBF6" w14:textId="66800DC6" w:rsidR="00123D70" w:rsidRPr="00290685" w:rsidRDefault="00123D70" w:rsidP="005264B8">
            <w:pPr>
              <w:jc w:val="both"/>
              <w:rPr>
                <w:rFonts w:ascii="Open Sans" w:hAnsi="Open Sans" w:cs="Open Sans"/>
                <w:color w:val="1F5C99"/>
                <w:sz w:val="24"/>
                <w:szCs w:val="24"/>
              </w:rPr>
            </w:pPr>
            <w:r w:rsidRPr="00290685">
              <w:rPr>
                <w:rFonts w:ascii="Open Sans" w:hAnsi="Open Sans" w:cs="Open Sans"/>
                <w:color w:val="1F5C99"/>
                <w:sz w:val="24"/>
                <w:szCs w:val="24"/>
              </w:rPr>
              <w:t>•</w:t>
            </w:r>
            <w:r>
              <w:rPr>
                <w:rFonts w:ascii="Open Sans" w:hAnsi="Open Sans" w:cs="Open Sans"/>
                <w:color w:val="1F5C99"/>
                <w:sz w:val="24"/>
                <w:szCs w:val="24"/>
              </w:rPr>
              <w:t xml:space="preserve"> </w:t>
            </w:r>
            <w:r w:rsidRPr="00123D70">
              <w:rPr>
                <w:rFonts w:ascii="Open Sans" w:hAnsi="Open Sans" w:cs="Open Sans"/>
                <w:color w:val="444444"/>
                <w:sz w:val="24"/>
                <w:szCs w:val="24"/>
              </w:rPr>
              <w:t>Mejoramiento de procesos administrativos para que profesores e investigadores puedan concentrar sus esfuerzos en la labor misional de la Universidad.</w:t>
            </w:r>
          </w:p>
        </w:tc>
      </w:tr>
    </w:tbl>
    <w:p w14:paraId="0164509D" w14:textId="77777777" w:rsidR="005264B8" w:rsidRPr="00290685" w:rsidRDefault="005264B8" w:rsidP="005264B8">
      <w:pPr>
        <w:spacing w:before="80" w:after="80"/>
        <w:jc w:val="both"/>
        <w:rPr>
          <w:rFonts w:ascii="Open Sans" w:hAnsi="Open Sans" w:cs="Open Sans"/>
          <w:color w:val="333333"/>
        </w:rPr>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gridCol w:w="142"/>
      </w:tblGrid>
      <w:tr w:rsidR="005264B8" w:rsidRPr="00290685" w14:paraId="47D49F8A" w14:textId="77777777" w:rsidTr="00E34FAE">
        <w:tc>
          <w:tcPr>
            <w:tcW w:w="9780" w:type="dxa"/>
            <w:gridSpan w:val="2"/>
            <w:tcBorders>
              <w:top w:val="single" w:sz="1" w:space="0" w:color="AACCEE"/>
              <w:left w:val="single" w:sz="1" w:space="0" w:color="AACCEE"/>
              <w:bottom w:val="single" w:sz="1" w:space="0" w:color="AACCEE"/>
              <w:right w:val="single" w:sz="1" w:space="0" w:color="AACCEE"/>
            </w:tcBorders>
            <w:shd w:val="clear" w:color="auto" w:fill="D6E4F0"/>
            <w:tcMar>
              <w:top w:w="100" w:type="dxa"/>
              <w:left w:w="180" w:type="dxa"/>
              <w:bottom w:w="100" w:type="dxa"/>
              <w:right w:w="180" w:type="dxa"/>
            </w:tcMar>
          </w:tcPr>
          <w:p w14:paraId="0833D73B" w14:textId="762A95E0" w:rsidR="005264B8" w:rsidRPr="00290685" w:rsidRDefault="005264B8" w:rsidP="00566AA1">
            <w:pPr>
              <w:rPr>
                <w:rFonts w:ascii="Open Sans" w:hAnsi="Open Sans" w:cs="Open Sans"/>
                <w:sz w:val="24"/>
                <w:szCs w:val="24"/>
              </w:rPr>
            </w:pPr>
            <w:r w:rsidRPr="00290685">
              <w:rPr>
                <w:rFonts w:ascii="Open Sans" w:hAnsi="Open Sans" w:cs="Open Sans"/>
                <w:b/>
                <w:bCs/>
                <w:color w:val="003366"/>
                <w:sz w:val="24"/>
                <w:szCs w:val="24"/>
              </w:rPr>
              <w:t>Pilar — Apropiación Social del Conocimiento</w:t>
            </w:r>
            <w:r w:rsidR="00A67F78" w:rsidRPr="00290685">
              <w:rPr>
                <w:rFonts w:ascii="Open Sans" w:hAnsi="Open Sans" w:cs="Open Sans"/>
                <w:b/>
                <w:bCs/>
                <w:color w:val="003366"/>
                <w:sz w:val="24"/>
                <w:szCs w:val="24"/>
              </w:rPr>
              <w:t xml:space="preserve"> y Entorno Emprendedor</w:t>
            </w:r>
          </w:p>
        </w:tc>
      </w:tr>
      <w:tr w:rsidR="005264B8" w:rsidRPr="00290685" w14:paraId="72BDAD1B" w14:textId="77777777" w:rsidTr="00E34FAE">
        <w:tc>
          <w:tcPr>
            <w:tcW w:w="9780" w:type="dxa"/>
            <w:gridSpan w:val="2"/>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55E8E041" w14:textId="77777777" w:rsidR="001263EC" w:rsidRDefault="001263EC" w:rsidP="005264B8">
            <w:pPr>
              <w:pStyle w:val="udes1"/>
              <w:numPr>
                <w:ilvl w:val="0"/>
                <w:numId w:val="0"/>
              </w:numPr>
              <w:spacing w:line="276" w:lineRule="auto"/>
              <w:rPr>
                <w:rFonts w:ascii="Open Sans" w:hAnsi="Open Sans" w:cs="Open Sans"/>
                <w:b w:val="0"/>
                <w:bCs w:val="0"/>
                <w:color w:val="333333"/>
                <w:sz w:val="24"/>
              </w:rPr>
            </w:pPr>
          </w:p>
          <w:p w14:paraId="35696434" w14:textId="484338DA" w:rsidR="005264B8" w:rsidRDefault="005264B8" w:rsidP="005264B8">
            <w:pPr>
              <w:pStyle w:val="udes1"/>
              <w:numPr>
                <w:ilvl w:val="0"/>
                <w:numId w:val="0"/>
              </w:numPr>
              <w:spacing w:line="276" w:lineRule="auto"/>
              <w:rPr>
                <w:rFonts w:ascii="Open Sans" w:hAnsi="Open Sans" w:cs="Open Sans"/>
                <w:b w:val="0"/>
                <w:bCs w:val="0"/>
                <w:color w:val="333333"/>
                <w:sz w:val="24"/>
              </w:rPr>
            </w:pPr>
            <w:r w:rsidRPr="00290685">
              <w:rPr>
                <w:rFonts w:ascii="Open Sans" w:hAnsi="Open Sans" w:cs="Open Sans"/>
                <w:b w:val="0"/>
                <w:bCs w:val="0"/>
                <w:color w:val="333333"/>
                <w:sz w:val="24"/>
              </w:rPr>
              <w:t xml:space="preserve">Promoción de </w:t>
            </w:r>
            <w:r w:rsidR="004442A1">
              <w:rPr>
                <w:rFonts w:ascii="Open Sans" w:hAnsi="Open Sans" w:cs="Open Sans"/>
                <w:b w:val="0"/>
                <w:bCs w:val="0"/>
                <w:color w:val="333333"/>
                <w:sz w:val="24"/>
              </w:rPr>
              <w:t>3</w:t>
            </w:r>
            <w:r w:rsidRPr="00290685">
              <w:rPr>
                <w:rFonts w:ascii="Open Sans" w:hAnsi="Open Sans" w:cs="Open Sans"/>
                <w:b w:val="0"/>
                <w:bCs w:val="0"/>
                <w:color w:val="333333"/>
                <w:sz w:val="24"/>
              </w:rPr>
              <w:t xml:space="preserve"> nuevos proyectos estratégicos</w:t>
            </w:r>
            <w:r w:rsidR="004442A1">
              <w:rPr>
                <w:rFonts w:ascii="Open Sans" w:hAnsi="Open Sans" w:cs="Open Sans"/>
                <w:b w:val="0"/>
                <w:bCs w:val="0"/>
                <w:color w:val="333333"/>
                <w:sz w:val="24"/>
              </w:rPr>
              <w:t xml:space="preserve"> orientados al fortalecimiento institucional</w:t>
            </w:r>
            <w:r w:rsidRPr="00290685">
              <w:rPr>
                <w:rFonts w:ascii="Open Sans" w:hAnsi="Open Sans" w:cs="Open Sans"/>
                <w:b w:val="0"/>
                <w:bCs w:val="0"/>
                <w:color w:val="333333"/>
                <w:sz w:val="24"/>
              </w:rPr>
              <w:t xml:space="preserve"> durante 2025: </w:t>
            </w:r>
          </w:p>
          <w:p w14:paraId="5C0715F1" w14:textId="77777777" w:rsidR="005264B8" w:rsidRPr="00290685" w:rsidRDefault="005264B8" w:rsidP="005264B8">
            <w:pPr>
              <w:pStyle w:val="udes1"/>
              <w:numPr>
                <w:ilvl w:val="0"/>
                <w:numId w:val="0"/>
              </w:numPr>
              <w:spacing w:line="276" w:lineRule="auto"/>
              <w:rPr>
                <w:rFonts w:ascii="Open Sans" w:hAnsi="Open Sans" w:cs="Open Sans"/>
                <w:color w:val="1F5C99"/>
                <w:sz w:val="24"/>
              </w:rPr>
            </w:pPr>
          </w:p>
          <w:p w14:paraId="610C9633" w14:textId="1B1A4AD8" w:rsidR="005264B8" w:rsidRPr="00290685" w:rsidRDefault="005264B8" w:rsidP="005264B8">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hAnsi="Open Sans" w:cs="Open Sans"/>
                <w:color w:val="1F5C99"/>
                <w:sz w:val="24"/>
              </w:rPr>
              <w:t xml:space="preserve">•   </w:t>
            </w:r>
            <w:r w:rsidR="004442A1" w:rsidRPr="004442A1">
              <w:rPr>
                <w:rFonts w:ascii="Open Sans" w:hAnsi="Open Sans" w:cs="Open Sans"/>
                <w:color w:val="333333"/>
                <w:sz w:val="24"/>
              </w:rPr>
              <w:t>Centro de Desarrollo Tecnológico</w:t>
            </w:r>
            <w:r w:rsidR="004442A1">
              <w:rPr>
                <w:rFonts w:ascii="Open Sans" w:hAnsi="Open Sans" w:cs="Open Sans"/>
                <w:color w:val="333333"/>
                <w:sz w:val="24"/>
              </w:rPr>
              <w:t xml:space="preserve"> para la Alimentación y las Energías</w:t>
            </w:r>
            <w:r w:rsidR="004442A1" w:rsidRPr="004442A1">
              <w:rPr>
                <w:rFonts w:ascii="Open Sans" w:hAnsi="Open Sans" w:cs="Open Sans"/>
                <w:color w:val="333333"/>
                <w:sz w:val="24"/>
              </w:rPr>
              <w:t xml:space="preserve"> (</w:t>
            </w:r>
            <w:proofErr w:type="spellStart"/>
            <w:r w:rsidR="000F4695" w:rsidRPr="00E84333">
              <w:rPr>
                <w:rFonts w:ascii="Open Sans" w:hAnsi="Open Sans" w:cs="Open Sans"/>
                <w:color w:val="333333"/>
                <w:sz w:val="24"/>
                <w:szCs w:val="22"/>
              </w:rPr>
              <w:t>CdeT</w:t>
            </w:r>
            <w:proofErr w:type="spellEnd"/>
            <w:r w:rsidR="004442A1" w:rsidRPr="004442A1">
              <w:rPr>
                <w:rFonts w:ascii="Open Sans" w:hAnsi="Open Sans" w:cs="Open Sans"/>
                <w:color w:val="333333"/>
                <w:sz w:val="24"/>
              </w:rPr>
              <w:t>):</w:t>
            </w:r>
            <w:r w:rsidRPr="00290685">
              <w:rPr>
                <w:rFonts w:ascii="Open Sans" w:hAnsi="Open Sans" w:cs="Open Sans"/>
                <w:color w:val="333333"/>
                <w:sz w:val="24"/>
              </w:rPr>
              <w:t xml:space="preserve"> </w:t>
            </w:r>
            <w:r w:rsidRPr="00290685">
              <w:rPr>
                <w:rFonts w:ascii="Open Sans" w:eastAsia="Arial" w:hAnsi="Open Sans" w:cs="Open Sans"/>
                <w:b w:val="0"/>
                <w:bCs w:val="0"/>
                <w:color w:val="444444"/>
                <w:sz w:val="24"/>
                <w:lang w:val="es-CO" w:eastAsia="es-CO"/>
              </w:rPr>
              <w:t>la Vicerrectoría Administrativa y Financiera a través de su SGC-VAF estructuró y promovió el reconocimiento administrativo del Centro de Desarrollo Tecnológico (CDT) “INNOVATEC”, cuyo propósito es generar soluciones tecnológicas que respondan a necesidades concretas de sectores clave como el agroindustrial y energético, a través de investigación aplicada, innovación y prestación de servicios especializados.</w:t>
            </w:r>
          </w:p>
          <w:p w14:paraId="67DFC5C7" w14:textId="77777777" w:rsidR="005264B8" w:rsidRPr="00290685" w:rsidRDefault="005264B8" w:rsidP="00566AA1">
            <w:pPr>
              <w:jc w:val="both"/>
              <w:rPr>
                <w:rFonts w:ascii="Open Sans" w:hAnsi="Open Sans" w:cs="Open Sans"/>
                <w:color w:val="333333"/>
                <w:sz w:val="24"/>
                <w:szCs w:val="24"/>
              </w:rPr>
            </w:pPr>
          </w:p>
          <w:p w14:paraId="432C107F" w14:textId="77777777" w:rsidR="005264B8" w:rsidRDefault="005264B8" w:rsidP="006859E1">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hAnsi="Open Sans" w:cs="Open Sans"/>
                <w:color w:val="1F5C99"/>
                <w:sz w:val="24"/>
              </w:rPr>
              <w:t xml:space="preserve">• </w:t>
            </w:r>
            <w:r w:rsidRPr="00290685">
              <w:rPr>
                <w:rFonts w:ascii="Open Sans" w:hAnsi="Open Sans" w:cs="Open Sans"/>
                <w:color w:val="333333"/>
                <w:sz w:val="24"/>
              </w:rPr>
              <w:t>UDESTEC:</w:t>
            </w:r>
            <w:r w:rsidRPr="00290685">
              <w:rPr>
                <w:rFonts w:ascii="Open Sans" w:hAnsi="Open Sans" w:cs="Open Sans"/>
                <w:b w:val="0"/>
                <w:bCs w:val="0"/>
                <w:sz w:val="24"/>
              </w:rPr>
              <w:t xml:space="preserve"> </w:t>
            </w:r>
            <w:r w:rsidR="004C42F5" w:rsidRPr="00290685">
              <w:rPr>
                <w:rFonts w:ascii="Open Sans" w:eastAsia="Arial" w:hAnsi="Open Sans" w:cs="Open Sans"/>
                <w:b w:val="0"/>
                <w:bCs w:val="0"/>
                <w:color w:val="444444"/>
                <w:sz w:val="24"/>
                <w:lang w:val="es-CO" w:eastAsia="es-CO"/>
              </w:rPr>
              <w:t>e</w:t>
            </w:r>
            <w:r w:rsidRPr="00290685">
              <w:rPr>
                <w:rFonts w:ascii="Open Sans" w:eastAsia="Arial" w:hAnsi="Open Sans" w:cs="Open Sans"/>
                <w:b w:val="0"/>
                <w:bCs w:val="0"/>
                <w:color w:val="444444"/>
                <w:sz w:val="24"/>
                <w:lang w:val="es-CO" w:eastAsia="es-CO"/>
              </w:rPr>
              <w:t>n el marco del compromiso institucional con la formación integral y la excelencia académica UDESTEC se constituye como una respuesta estratégica a la transformación en la educación y a las exigencias de un mercado competitivo, promoviendo la adquisición de habilidades técnicas avanzadas, la generación de prácticas formativas innovadoras y la incorporación de saberes aplicados en contextos reales de trabajo, alineándose con la misión institucional de formar profesionales competitivos y adaptativos, capaces de generar impacto positivo en sus entornos sociales y productivos; este proyecto es permanente y el desarrollo del mismo se encuentra documentado en la planeación del SGC-VAF.</w:t>
            </w:r>
          </w:p>
          <w:p w14:paraId="34A9280A" w14:textId="77777777" w:rsidR="007725CC" w:rsidRDefault="007725CC" w:rsidP="006859E1">
            <w:pPr>
              <w:pStyle w:val="udes1"/>
              <w:numPr>
                <w:ilvl w:val="0"/>
                <w:numId w:val="0"/>
              </w:numPr>
              <w:spacing w:line="276" w:lineRule="auto"/>
              <w:rPr>
                <w:rFonts w:ascii="Open Sans" w:eastAsia="Arial" w:hAnsi="Open Sans" w:cs="Open Sans"/>
                <w:b w:val="0"/>
                <w:bCs w:val="0"/>
                <w:color w:val="444444"/>
                <w:sz w:val="24"/>
                <w:lang w:val="es-CO" w:eastAsia="es-CO"/>
              </w:rPr>
            </w:pPr>
          </w:p>
          <w:p w14:paraId="3DBDC9E5" w14:textId="1DFF52D6" w:rsidR="004442A1" w:rsidRDefault="004442A1" w:rsidP="004442A1">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hAnsi="Open Sans" w:cs="Open Sans"/>
                <w:color w:val="1F5C99"/>
                <w:sz w:val="24"/>
              </w:rPr>
              <w:t>•</w:t>
            </w:r>
            <w:r>
              <w:rPr>
                <w:rFonts w:ascii="Open Sans" w:hAnsi="Open Sans" w:cs="Open Sans"/>
                <w:color w:val="1F5C99"/>
                <w:sz w:val="24"/>
              </w:rPr>
              <w:t xml:space="preserve"> </w:t>
            </w:r>
            <w:r w:rsidRPr="004442A1">
              <w:rPr>
                <w:rFonts w:ascii="Open Sans" w:hAnsi="Open Sans" w:cs="Open Sans"/>
                <w:color w:val="333333"/>
                <w:sz w:val="24"/>
              </w:rPr>
              <w:t>UDES VIRTUAL:</w:t>
            </w:r>
            <w:r>
              <w:rPr>
                <w:rFonts w:ascii="Open Sans" w:hAnsi="Open Sans" w:cs="Open Sans"/>
                <w:b w:val="0"/>
                <w:bCs w:val="0"/>
                <w:color w:val="444444"/>
                <w:sz w:val="24"/>
              </w:rPr>
              <w:t xml:space="preserve"> </w:t>
            </w:r>
            <w:r w:rsidRPr="004442A1">
              <w:rPr>
                <w:rFonts w:ascii="Open Sans" w:eastAsia="Arial" w:hAnsi="Open Sans" w:cs="Open Sans"/>
                <w:b w:val="0"/>
                <w:bCs w:val="0"/>
                <w:color w:val="444444"/>
                <w:sz w:val="24"/>
                <w:lang w:val="es-CO" w:eastAsia="es-CO"/>
              </w:rPr>
              <w:t>es una unidad estratégica de la universidad que ofrece programas académicos en modalidad virtual, impulsada desde las Vicerrectorías Administrativa y de Enseñanza como respuesta a la globalización y las tendencias del mercado educativo.</w:t>
            </w:r>
            <w:r>
              <w:rPr>
                <w:rFonts w:ascii="Open Sans" w:eastAsia="Arial" w:hAnsi="Open Sans" w:cs="Open Sans"/>
                <w:b w:val="0"/>
                <w:bCs w:val="0"/>
                <w:color w:val="444444"/>
                <w:sz w:val="24"/>
                <w:lang w:val="es-CO" w:eastAsia="es-CO"/>
              </w:rPr>
              <w:t xml:space="preserve"> </w:t>
            </w:r>
            <w:r w:rsidRPr="004442A1">
              <w:rPr>
                <w:rFonts w:ascii="Open Sans" w:eastAsia="Arial" w:hAnsi="Open Sans" w:cs="Open Sans"/>
                <w:b w:val="0"/>
                <w:bCs w:val="0"/>
                <w:color w:val="444444"/>
                <w:sz w:val="24"/>
                <w:lang w:val="es-CO" w:eastAsia="es-CO"/>
              </w:rPr>
              <w:t>Su propósito es ampliar la cobertura y flexibilizar el acceso a la educación mediante tecnologías digitales y metodologías innovadoras, permitiendo a los estudiantes formarse sin limitaciones de tiempo ni lugar. Además, ha contribuido al fortalecimiento de la infraestructura tecnológica institucional.</w:t>
            </w:r>
          </w:p>
          <w:p w14:paraId="5E3B7F1D" w14:textId="77777777" w:rsidR="004442A1" w:rsidRPr="004442A1" w:rsidRDefault="004442A1" w:rsidP="004442A1">
            <w:pPr>
              <w:pStyle w:val="udes1"/>
              <w:numPr>
                <w:ilvl w:val="0"/>
                <w:numId w:val="0"/>
              </w:numPr>
              <w:spacing w:line="276" w:lineRule="auto"/>
              <w:rPr>
                <w:rFonts w:ascii="Open Sans" w:eastAsia="Arial" w:hAnsi="Open Sans" w:cs="Open Sans"/>
                <w:b w:val="0"/>
                <w:bCs w:val="0"/>
                <w:color w:val="444444"/>
                <w:sz w:val="24"/>
                <w:lang w:val="es-CO" w:eastAsia="es-CO"/>
              </w:rPr>
            </w:pPr>
          </w:p>
          <w:p w14:paraId="52654397" w14:textId="77777777" w:rsidR="004442A1" w:rsidRDefault="004442A1" w:rsidP="007725CC">
            <w:pPr>
              <w:pStyle w:val="udes1"/>
              <w:numPr>
                <w:ilvl w:val="0"/>
                <w:numId w:val="0"/>
              </w:numPr>
              <w:spacing w:line="276" w:lineRule="auto"/>
              <w:rPr>
                <w:rFonts w:ascii="Open Sans" w:eastAsia="Arial" w:hAnsi="Open Sans" w:cs="Open Sans"/>
                <w:b w:val="0"/>
                <w:bCs w:val="0"/>
                <w:color w:val="444444"/>
                <w:sz w:val="24"/>
                <w:lang w:val="es-CO" w:eastAsia="es-CO"/>
              </w:rPr>
            </w:pPr>
            <w:r w:rsidRPr="004442A1">
              <w:rPr>
                <w:rFonts w:ascii="Open Sans" w:eastAsia="Arial" w:hAnsi="Open Sans" w:cs="Open Sans"/>
                <w:b w:val="0"/>
                <w:bCs w:val="0"/>
                <w:color w:val="444444"/>
                <w:sz w:val="24"/>
                <w:lang w:val="es-CO" w:eastAsia="es-CO"/>
              </w:rPr>
              <w:t>Sin embargo, el proyecto implica retos importantes: diseñar experiencias de aprendizaje dinámicas, garantizar acompañamiento continuo a los estudiantes y disponer de herramientas que promuevan la interacción, la autonomía y el desarrollo de competencias laborales relevantes.</w:t>
            </w:r>
          </w:p>
          <w:p w14:paraId="42F9584F" w14:textId="5F5D6244" w:rsidR="007725CC" w:rsidRPr="004442A1" w:rsidRDefault="007725CC" w:rsidP="007725CC">
            <w:pPr>
              <w:pStyle w:val="udes1"/>
              <w:numPr>
                <w:ilvl w:val="0"/>
                <w:numId w:val="0"/>
              </w:numPr>
              <w:spacing w:line="276" w:lineRule="auto"/>
              <w:rPr>
                <w:rFonts w:ascii="Open Sans" w:hAnsi="Open Sans" w:cs="Open Sans"/>
                <w:sz w:val="24"/>
                <w:lang w:val="es-CO"/>
              </w:rPr>
            </w:pPr>
          </w:p>
        </w:tc>
      </w:tr>
      <w:tr w:rsidR="006859E1" w:rsidRPr="00290685" w14:paraId="640DF536" w14:textId="77777777" w:rsidTr="00E34FAE">
        <w:trPr>
          <w:gridAfter w:val="1"/>
          <w:wAfter w:w="142" w:type="dxa"/>
        </w:trPr>
        <w:tc>
          <w:tcPr>
            <w:tcW w:w="9638" w:type="dxa"/>
            <w:tcBorders>
              <w:top w:val="single" w:sz="1" w:space="0" w:color="AACCEE"/>
              <w:left w:val="single" w:sz="1" w:space="0" w:color="AACCEE"/>
              <w:bottom w:val="single" w:sz="1" w:space="0" w:color="AACCEE"/>
              <w:right w:val="single" w:sz="1" w:space="0" w:color="AACCEE"/>
            </w:tcBorders>
            <w:shd w:val="clear" w:color="auto" w:fill="D6E4F0"/>
            <w:tcMar>
              <w:top w:w="100" w:type="dxa"/>
              <w:left w:w="180" w:type="dxa"/>
              <w:bottom w:w="100" w:type="dxa"/>
              <w:right w:w="180" w:type="dxa"/>
            </w:tcMar>
          </w:tcPr>
          <w:p w14:paraId="333DC727" w14:textId="2DA82C82" w:rsidR="006859E1" w:rsidRPr="00290685" w:rsidRDefault="006859E1" w:rsidP="00566AA1">
            <w:pPr>
              <w:rPr>
                <w:rFonts w:ascii="Open Sans" w:hAnsi="Open Sans" w:cs="Open Sans"/>
                <w:sz w:val="24"/>
                <w:szCs w:val="24"/>
              </w:rPr>
            </w:pPr>
            <w:r w:rsidRPr="00290685">
              <w:rPr>
                <w:rFonts w:ascii="Open Sans" w:hAnsi="Open Sans" w:cs="Open Sans"/>
                <w:b/>
                <w:bCs/>
                <w:color w:val="003366"/>
                <w:sz w:val="24"/>
                <w:szCs w:val="24"/>
              </w:rPr>
              <w:lastRenderedPageBreak/>
              <w:t>Pilar — Ambiente Tecnológico</w:t>
            </w:r>
          </w:p>
        </w:tc>
      </w:tr>
      <w:tr w:rsidR="006859E1" w:rsidRPr="00290685" w14:paraId="383DC4DD" w14:textId="77777777" w:rsidTr="00E34FAE">
        <w:trPr>
          <w:gridAfter w:val="1"/>
          <w:wAfter w:w="142" w:type="dxa"/>
        </w:trPr>
        <w:tc>
          <w:tcPr>
            <w:tcW w:w="9638" w:type="dxa"/>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28C2B03C" w14:textId="77777777" w:rsidR="006859E1" w:rsidRPr="00483199" w:rsidRDefault="006859E1" w:rsidP="00483199">
            <w:pPr>
              <w:pStyle w:val="udes1"/>
              <w:numPr>
                <w:ilvl w:val="0"/>
                <w:numId w:val="7"/>
              </w:numPr>
              <w:tabs>
                <w:tab w:val="left" w:pos="266"/>
              </w:tabs>
              <w:spacing w:line="276" w:lineRule="auto"/>
              <w:ind w:left="0" w:hanging="17"/>
              <w:rPr>
                <w:rFonts w:ascii="Open Sans" w:hAnsi="Open Sans" w:cs="Open Sans"/>
                <w:sz w:val="24"/>
              </w:rPr>
            </w:pPr>
            <w:r w:rsidRPr="00290685">
              <w:rPr>
                <w:rFonts w:ascii="Open Sans" w:eastAsia="Arial" w:hAnsi="Open Sans" w:cs="Open Sans"/>
                <w:b w:val="0"/>
                <w:bCs w:val="0"/>
                <w:color w:val="444444"/>
                <w:sz w:val="24"/>
                <w:lang w:val="es-CO" w:eastAsia="es-CO"/>
              </w:rPr>
              <w:lastRenderedPageBreak/>
              <w:t xml:space="preserve">La Vicerrectoría Administrativa y Financiera consolidó en 2025 su apuesta por la modernización institucional mediante una reinversión estratégica en infraestructura física y plataformas tecnológicas. La Propiedad, Planta y Equipo alcanzó $296.827 millones, constituyéndose como el rubro de mayor peso en el activo no corriente y reafirmando el compromiso de la UDES con el fortalecimiento de su capacidad instalada. </w:t>
            </w:r>
          </w:p>
          <w:p w14:paraId="585E6461" w14:textId="3D70C019" w:rsidR="00483199" w:rsidRPr="00290685" w:rsidRDefault="00483199" w:rsidP="00483199">
            <w:pPr>
              <w:pStyle w:val="udes1"/>
              <w:numPr>
                <w:ilvl w:val="0"/>
                <w:numId w:val="0"/>
              </w:numPr>
              <w:tabs>
                <w:tab w:val="left" w:pos="266"/>
              </w:tabs>
              <w:spacing w:line="276" w:lineRule="auto"/>
              <w:rPr>
                <w:rFonts w:ascii="Open Sans" w:hAnsi="Open Sans" w:cs="Open Sans"/>
                <w:sz w:val="24"/>
              </w:rPr>
            </w:pPr>
          </w:p>
        </w:tc>
      </w:tr>
      <w:tr w:rsidR="007725CC" w:rsidRPr="00290685" w14:paraId="08D096E6" w14:textId="77777777" w:rsidTr="00E34FAE">
        <w:trPr>
          <w:gridAfter w:val="1"/>
          <w:wAfter w:w="142" w:type="dxa"/>
        </w:trPr>
        <w:tc>
          <w:tcPr>
            <w:tcW w:w="9638" w:type="dxa"/>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3A18A8ED" w14:textId="77777777" w:rsidR="007725CC" w:rsidRDefault="007725CC" w:rsidP="00E61403">
            <w:pPr>
              <w:pStyle w:val="udes1"/>
              <w:numPr>
                <w:ilvl w:val="0"/>
                <w:numId w:val="7"/>
              </w:numPr>
              <w:tabs>
                <w:tab w:val="left" w:pos="266"/>
              </w:tabs>
              <w:spacing w:line="276" w:lineRule="auto"/>
              <w:ind w:left="0" w:hanging="17"/>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De manera complementaria, los activos corrientes registraron un crecimiento del 61%, evidenciando una mejora significativa en la liquidez operativa de la institución. Esta solidez financiera se traduce en una asignación oportuna y eficiente de recursos tecnológicos a cada proceso y subproceso, garantizando las condiciones necesarias para el desarrollo de las funciones misionales.</w:t>
            </w:r>
          </w:p>
          <w:p w14:paraId="2FE53FE2" w14:textId="0AFD9862" w:rsidR="00483199" w:rsidRPr="00290685" w:rsidRDefault="00483199" w:rsidP="00483199">
            <w:pPr>
              <w:pStyle w:val="udes1"/>
              <w:numPr>
                <w:ilvl w:val="0"/>
                <w:numId w:val="0"/>
              </w:numPr>
              <w:tabs>
                <w:tab w:val="left" w:pos="266"/>
              </w:tabs>
              <w:spacing w:line="276" w:lineRule="auto"/>
              <w:rPr>
                <w:rFonts w:ascii="Open Sans" w:eastAsia="Arial" w:hAnsi="Open Sans" w:cs="Open Sans"/>
                <w:b w:val="0"/>
                <w:bCs w:val="0"/>
                <w:color w:val="444444"/>
                <w:sz w:val="24"/>
                <w:lang w:val="es-CO" w:eastAsia="es-CO"/>
              </w:rPr>
            </w:pPr>
          </w:p>
        </w:tc>
      </w:tr>
      <w:tr w:rsidR="00A67F78" w:rsidRPr="00290685" w14:paraId="3CF0E727" w14:textId="77777777" w:rsidTr="00E34FAE">
        <w:tc>
          <w:tcPr>
            <w:tcW w:w="9780" w:type="dxa"/>
            <w:gridSpan w:val="2"/>
            <w:tcBorders>
              <w:top w:val="single" w:sz="1" w:space="0" w:color="AACCEE"/>
              <w:left w:val="single" w:sz="1" w:space="0" w:color="AACCEE"/>
              <w:bottom w:val="single" w:sz="1" w:space="0" w:color="AACCEE"/>
              <w:right w:val="single" w:sz="1" w:space="0" w:color="AACCEE"/>
            </w:tcBorders>
            <w:shd w:val="clear" w:color="auto" w:fill="D6E4F0"/>
            <w:tcMar>
              <w:top w:w="100" w:type="dxa"/>
              <w:left w:w="180" w:type="dxa"/>
              <w:bottom w:w="100" w:type="dxa"/>
              <w:right w:w="180" w:type="dxa"/>
            </w:tcMar>
          </w:tcPr>
          <w:p w14:paraId="7D158088" w14:textId="6CDD8299" w:rsidR="00A67F78" w:rsidRPr="00290685" w:rsidRDefault="00A67F78" w:rsidP="00566AA1">
            <w:pPr>
              <w:rPr>
                <w:rFonts w:ascii="Open Sans" w:hAnsi="Open Sans" w:cs="Open Sans"/>
                <w:sz w:val="24"/>
                <w:szCs w:val="24"/>
              </w:rPr>
            </w:pPr>
            <w:r w:rsidRPr="00290685">
              <w:rPr>
                <w:rFonts w:ascii="Open Sans" w:hAnsi="Open Sans" w:cs="Open Sans"/>
                <w:b/>
                <w:bCs/>
                <w:color w:val="003366"/>
                <w:sz w:val="24"/>
                <w:szCs w:val="24"/>
              </w:rPr>
              <w:t xml:space="preserve">Pilar — </w:t>
            </w:r>
            <w:r w:rsidR="004C42F5" w:rsidRPr="00290685">
              <w:rPr>
                <w:rFonts w:ascii="Open Sans" w:hAnsi="Open Sans" w:cs="Open Sans"/>
                <w:b/>
                <w:bCs/>
                <w:color w:val="003366"/>
                <w:sz w:val="24"/>
                <w:szCs w:val="24"/>
              </w:rPr>
              <w:t>Gobierno Institucional y Transparencia</w:t>
            </w:r>
          </w:p>
        </w:tc>
      </w:tr>
      <w:tr w:rsidR="00A67F78" w:rsidRPr="00290685" w14:paraId="45475823" w14:textId="77777777" w:rsidTr="00E34FAE">
        <w:tc>
          <w:tcPr>
            <w:tcW w:w="9780" w:type="dxa"/>
            <w:gridSpan w:val="2"/>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49275D62" w14:textId="6797225A" w:rsidR="008A0B4E" w:rsidRPr="00290685" w:rsidRDefault="008A0B4E" w:rsidP="008A0B4E">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Durante 2025, el Sistema de Gestión de Calidad VAF gestionó </w:t>
            </w:r>
            <w:r w:rsidRPr="00290685">
              <w:rPr>
                <w:rFonts w:ascii="Open Sans" w:eastAsia="Arial" w:hAnsi="Open Sans" w:cs="Open Sans"/>
                <w:color w:val="444444"/>
                <w:sz w:val="24"/>
                <w:lang w:val="es-CO" w:eastAsia="es-CO"/>
              </w:rPr>
              <w:t>475 incidencias</w:t>
            </w:r>
            <w:r w:rsidRPr="00290685">
              <w:rPr>
                <w:rFonts w:ascii="Open Sans" w:eastAsia="Arial" w:hAnsi="Open Sans" w:cs="Open Sans"/>
                <w:b w:val="0"/>
                <w:bCs w:val="0"/>
                <w:color w:val="444444"/>
                <w:sz w:val="24"/>
                <w:lang w:val="es-CO" w:eastAsia="es-CO"/>
              </w:rPr>
              <w:t xml:space="preserve"> sobre un universo de </w:t>
            </w:r>
            <w:r w:rsidRPr="00290685">
              <w:rPr>
                <w:rFonts w:ascii="Open Sans" w:eastAsia="Arial" w:hAnsi="Open Sans" w:cs="Open Sans"/>
                <w:color w:val="444444"/>
                <w:sz w:val="24"/>
                <w:lang w:val="es-CO" w:eastAsia="es-CO"/>
              </w:rPr>
              <w:t>13.719 partes interesadas</w:t>
            </w:r>
            <w:r w:rsidRPr="00290685">
              <w:rPr>
                <w:rFonts w:ascii="Open Sans" w:eastAsia="Arial" w:hAnsi="Open Sans" w:cs="Open Sans"/>
                <w:b w:val="0"/>
                <w:bCs w:val="0"/>
                <w:color w:val="444444"/>
                <w:sz w:val="24"/>
                <w:lang w:val="es-CO" w:eastAsia="es-CO"/>
              </w:rPr>
              <w:t xml:space="preserve"> (</w:t>
            </w:r>
            <w:r w:rsidR="00CA5AE8" w:rsidRPr="00290685">
              <w:rPr>
                <w:rFonts w:ascii="Open Sans" w:eastAsia="Arial" w:hAnsi="Open Sans" w:cs="Open Sans"/>
                <w:b w:val="0"/>
                <w:bCs w:val="0"/>
                <w:color w:val="444444"/>
                <w:sz w:val="24"/>
                <w:lang w:val="es-CO" w:eastAsia="es-CO"/>
              </w:rPr>
              <w:t>E</w:t>
            </w:r>
            <w:r w:rsidRPr="00290685">
              <w:rPr>
                <w:rFonts w:ascii="Open Sans" w:eastAsia="Arial" w:hAnsi="Open Sans" w:cs="Open Sans"/>
                <w:b w:val="0"/>
                <w:bCs w:val="0"/>
                <w:color w:val="444444"/>
                <w:sz w:val="24"/>
                <w:lang w:val="es-CO" w:eastAsia="es-CO"/>
              </w:rPr>
              <w:t xml:space="preserve">studiantes, proveedores y colaboradores), lo que representa un índice de incidencias del </w:t>
            </w:r>
            <w:r w:rsidRPr="00290685">
              <w:rPr>
                <w:rFonts w:ascii="Open Sans" w:eastAsia="Arial" w:hAnsi="Open Sans" w:cs="Open Sans"/>
                <w:color w:val="444444"/>
                <w:sz w:val="24"/>
                <w:lang w:val="es-CO" w:eastAsia="es-CO"/>
              </w:rPr>
              <w:t>3,5%</w:t>
            </w:r>
            <w:r w:rsidRPr="00290685">
              <w:rPr>
                <w:rFonts w:ascii="Open Sans" w:eastAsia="Arial" w:hAnsi="Open Sans" w:cs="Open Sans"/>
                <w:b w:val="0"/>
                <w:bCs w:val="0"/>
                <w:color w:val="444444"/>
                <w:sz w:val="24"/>
                <w:lang w:val="es-CO" w:eastAsia="es-CO"/>
              </w:rPr>
              <w:t>, cifra inferior a la registrada en 2024 y que valida la eficacia de las acciones preventivas implementadas.</w:t>
            </w:r>
            <w:r w:rsidR="00483199">
              <w:rPr>
                <w:rFonts w:ascii="Open Sans" w:eastAsia="Arial" w:hAnsi="Open Sans" w:cs="Open Sans"/>
                <w:b w:val="0"/>
                <w:bCs w:val="0"/>
                <w:color w:val="444444"/>
                <w:sz w:val="24"/>
                <w:lang w:val="es-CO" w:eastAsia="es-CO"/>
              </w:rPr>
              <w:t xml:space="preserve"> </w:t>
            </w:r>
            <w:r w:rsidRPr="00290685">
              <w:rPr>
                <w:rFonts w:ascii="Open Sans" w:eastAsia="Arial" w:hAnsi="Open Sans" w:cs="Open Sans"/>
                <w:b w:val="0"/>
                <w:bCs w:val="0"/>
                <w:color w:val="444444"/>
                <w:sz w:val="24"/>
                <w:lang w:val="es-CO" w:eastAsia="es-CO"/>
              </w:rPr>
              <w:t xml:space="preserve">Del total de casos, el </w:t>
            </w:r>
            <w:r w:rsidRPr="00290685">
              <w:rPr>
                <w:rFonts w:ascii="Open Sans" w:eastAsia="Arial" w:hAnsi="Open Sans" w:cs="Open Sans"/>
                <w:color w:val="444444"/>
                <w:sz w:val="24"/>
                <w:lang w:val="es-CO" w:eastAsia="es-CO"/>
              </w:rPr>
              <w:t>85,05% fue resuelto satisfactoriamente</w:t>
            </w:r>
            <w:r w:rsidRPr="00290685">
              <w:rPr>
                <w:rFonts w:ascii="Open Sans" w:eastAsia="Arial" w:hAnsi="Open Sans" w:cs="Open Sans"/>
                <w:b w:val="0"/>
                <w:bCs w:val="0"/>
                <w:color w:val="444444"/>
                <w:sz w:val="24"/>
                <w:lang w:val="es-CO" w:eastAsia="es-CO"/>
              </w:rPr>
              <w:t>, reflejando una alta capacidad de respuesta y cierre de ciclos en los procesos de atención.</w:t>
            </w:r>
          </w:p>
          <w:p w14:paraId="491CA7B9" w14:textId="77777777" w:rsidR="008A0B4E" w:rsidRPr="00483199" w:rsidRDefault="008A0B4E" w:rsidP="008A0B4E">
            <w:pPr>
              <w:pStyle w:val="udes1"/>
              <w:numPr>
                <w:ilvl w:val="0"/>
                <w:numId w:val="0"/>
              </w:numPr>
              <w:spacing w:line="276" w:lineRule="auto"/>
              <w:rPr>
                <w:rFonts w:ascii="Open Sans" w:eastAsia="Arial" w:hAnsi="Open Sans" w:cs="Open Sans"/>
                <w:b w:val="0"/>
                <w:bCs w:val="0"/>
                <w:color w:val="444444"/>
                <w:sz w:val="12"/>
                <w:szCs w:val="12"/>
                <w:lang w:val="es-CO" w:eastAsia="es-CO"/>
              </w:rPr>
            </w:pPr>
          </w:p>
          <w:p w14:paraId="2898AAD0" w14:textId="77777777" w:rsidR="008A0B4E" w:rsidRPr="00290685" w:rsidRDefault="008A0B4E" w:rsidP="008A0B4E">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Un indicador especialmente destacado es el crecimiento del </w:t>
            </w:r>
            <w:r w:rsidRPr="00290685">
              <w:rPr>
                <w:rFonts w:ascii="Open Sans" w:eastAsia="Arial" w:hAnsi="Open Sans" w:cs="Open Sans"/>
                <w:color w:val="444444"/>
                <w:sz w:val="24"/>
                <w:lang w:val="es-CO" w:eastAsia="es-CO"/>
              </w:rPr>
              <w:t>61% en felicitaciones</w:t>
            </w:r>
            <w:r w:rsidRPr="00290685">
              <w:rPr>
                <w:rFonts w:ascii="Open Sans" w:eastAsia="Arial" w:hAnsi="Open Sans" w:cs="Open Sans"/>
                <w:b w:val="0"/>
                <w:bCs w:val="0"/>
                <w:color w:val="444444"/>
                <w:sz w:val="24"/>
                <w:lang w:val="es-CO" w:eastAsia="es-CO"/>
              </w:rPr>
              <w:t xml:space="preserve">, al pasar de 101 reconocimientos en 2024 a 163 en 2025, lo que evidencia una percepción cada vez más favorable por parte de la comunidad universitaria. </w:t>
            </w:r>
          </w:p>
          <w:p w14:paraId="6E76C93E" w14:textId="77777777" w:rsidR="008A0B4E" w:rsidRPr="00483199" w:rsidRDefault="008A0B4E" w:rsidP="008A0B4E">
            <w:pPr>
              <w:pStyle w:val="udes1"/>
              <w:numPr>
                <w:ilvl w:val="0"/>
                <w:numId w:val="0"/>
              </w:numPr>
              <w:spacing w:line="276" w:lineRule="auto"/>
              <w:rPr>
                <w:rFonts w:ascii="Open Sans" w:eastAsia="Arial" w:hAnsi="Open Sans" w:cs="Open Sans"/>
                <w:b w:val="0"/>
                <w:bCs w:val="0"/>
                <w:color w:val="444444"/>
                <w:sz w:val="14"/>
                <w:szCs w:val="14"/>
                <w:lang w:val="es-CO" w:eastAsia="es-CO"/>
              </w:rPr>
            </w:pPr>
          </w:p>
          <w:p w14:paraId="063659CA" w14:textId="03DDC90E" w:rsidR="008A0B4E" w:rsidRDefault="008A0B4E" w:rsidP="008A0B4E">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Este desempeño se sustenta en tres mecanismos institucionales de medición: el sistema PQRSF, la Encuesta de Percepción del Servicio y la Medición de Tiempos de Respuesta, los cuales en conjunto permiten una retroalimentación continua y estructurada para la toma de decisiones de la Alta Dirección.</w:t>
            </w:r>
          </w:p>
          <w:p w14:paraId="2EFF5810" w14:textId="77777777" w:rsidR="00FD1199" w:rsidRDefault="00FD1199" w:rsidP="008A0B4E">
            <w:pPr>
              <w:pStyle w:val="udes1"/>
              <w:numPr>
                <w:ilvl w:val="0"/>
                <w:numId w:val="0"/>
              </w:numPr>
              <w:spacing w:line="276" w:lineRule="auto"/>
              <w:rPr>
                <w:rFonts w:ascii="Open Sans" w:eastAsia="Arial" w:hAnsi="Open Sans" w:cs="Open Sans"/>
                <w:b w:val="0"/>
                <w:bCs w:val="0"/>
                <w:color w:val="444444"/>
                <w:sz w:val="24"/>
                <w:lang w:val="es-CO" w:eastAsia="es-CO"/>
              </w:rPr>
            </w:pPr>
          </w:p>
          <w:p w14:paraId="51DE9527" w14:textId="77777777" w:rsidR="00364FF8" w:rsidRDefault="00364FF8" w:rsidP="008A0B4E">
            <w:pPr>
              <w:pStyle w:val="udes1"/>
              <w:numPr>
                <w:ilvl w:val="0"/>
                <w:numId w:val="0"/>
              </w:numPr>
              <w:spacing w:line="276" w:lineRule="auto"/>
              <w:rPr>
                <w:rFonts w:ascii="Open Sans" w:eastAsia="Arial" w:hAnsi="Open Sans" w:cs="Open Sans"/>
                <w:b w:val="0"/>
                <w:bCs w:val="0"/>
                <w:color w:val="444444"/>
                <w:sz w:val="24"/>
                <w:lang w:val="es-CO" w:eastAsia="es-CO"/>
              </w:rPr>
            </w:pPr>
          </w:p>
          <w:p w14:paraId="1AFEA0A9" w14:textId="77777777" w:rsidR="00364FF8" w:rsidRDefault="00364FF8" w:rsidP="008A0B4E">
            <w:pPr>
              <w:pStyle w:val="udes1"/>
              <w:numPr>
                <w:ilvl w:val="0"/>
                <w:numId w:val="0"/>
              </w:numPr>
              <w:spacing w:line="276" w:lineRule="auto"/>
              <w:rPr>
                <w:rFonts w:ascii="Open Sans" w:eastAsia="Arial" w:hAnsi="Open Sans" w:cs="Open Sans"/>
                <w:b w:val="0"/>
                <w:bCs w:val="0"/>
                <w:color w:val="444444"/>
                <w:sz w:val="24"/>
                <w:lang w:val="es-CO" w:eastAsia="es-CO"/>
              </w:rPr>
            </w:pPr>
          </w:p>
          <w:p w14:paraId="2AAECD88" w14:textId="77777777" w:rsidR="00364FF8" w:rsidRPr="00290685" w:rsidRDefault="00364FF8" w:rsidP="008A0B4E">
            <w:pPr>
              <w:pStyle w:val="udes1"/>
              <w:numPr>
                <w:ilvl w:val="0"/>
                <w:numId w:val="0"/>
              </w:numPr>
              <w:spacing w:line="276" w:lineRule="auto"/>
              <w:rPr>
                <w:rFonts w:ascii="Open Sans" w:eastAsia="Arial" w:hAnsi="Open Sans" w:cs="Open Sans"/>
                <w:b w:val="0"/>
                <w:bCs w:val="0"/>
                <w:color w:val="444444"/>
                <w:sz w:val="24"/>
                <w:lang w:val="es-CO" w:eastAsia="es-CO"/>
              </w:rPr>
            </w:pPr>
          </w:p>
          <w:p w14:paraId="10B7AE46" w14:textId="77777777" w:rsidR="008A0B4E" w:rsidRPr="00483199" w:rsidRDefault="008A0B4E" w:rsidP="008A0B4E">
            <w:pPr>
              <w:pStyle w:val="udes1"/>
              <w:numPr>
                <w:ilvl w:val="0"/>
                <w:numId w:val="0"/>
              </w:numPr>
              <w:spacing w:line="276" w:lineRule="auto"/>
              <w:rPr>
                <w:rFonts w:ascii="Open Sans" w:eastAsia="Arial" w:hAnsi="Open Sans" w:cs="Open Sans"/>
                <w:b w:val="0"/>
                <w:bCs w:val="0"/>
                <w:color w:val="444444"/>
                <w:sz w:val="16"/>
                <w:szCs w:val="16"/>
                <w:lang w:val="es-CO" w:eastAsia="es-CO"/>
              </w:rPr>
            </w:pPr>
          </w:p>
          <w:p w14:paraId="328AD2D8" w14:textId="158D28FF" w:rsidR="0061605C" w:rsidRPr="00290685" w:rsidRDefault="0061605C" w:rsidP="0061605C">
            <w:pPr>
              <w:rPr>
                <w:rFonts w:ascii="Open Sans" w:hAnsi="Open Sans" w:cs="Open Sans"/>
                <w:b/>
                <w:bCs/>
                <w:sz w:val="24"/>
                <w:szCs w:val="24"/>
              </w:rPr>
            </w:pPr>
            <w:r w:rsidRPr="00290685">
              <w:rPr>
                <w:rFonts w:ascii="Open Sans" w:hAnsi="Open Sans" w:cs="Open Sans"/>
                <w:b/>
                <w:bCs/>
                <w:sz w:val="24"/>
                <w:szCs w:val="24"/>
              </w:rPr>
              <w:t>Tabla 1.</w:t>
            </w:r>
          </w:p>
          <w:p w14:paraId="12C78409" w14:textId="7111511F" w:rsidR="0061605C" w:rsidRPr="00290685" w:rsidRDefault="0061605C" w:rsidP="0061605C">
            <w:pPr>
              <w:rPr>
                <w:rFonts w:ascii="Open Sans" w:hAnsi="Open Sans" w:cs="Open Sans"/>
                <w:sz w:val="24"/>
                <w:szCs w:val="24"/>
              </w:rPr>
            </w:pPr>
            <w:r w:rsidRPr="00290685">
              <w:rPr>
                <w:rFonts w:ascii="Open Sans" w:hAnsi="Open Sans" w:cs="Open Sans"/>
                <w:i/>
                <w:iCs/>
                <w:sz w:val="24"/>
                <w:szCs w:val="24"/>
              </w:rPr>
              <w:t>Resultados de desempeño y eficacia SGC-VAF 2025</w:t>
            </w:r>
          </w:p>
          <w:tbl>
            <w:tblPr>
              <w:tblW w:w="6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6"/>
              <w:gridCol w:w="928"/>
              <w:gridCol w:w="847"/>
              <w:gridCol w:w="2316"/>
            </w:tblGrid>
            <w:tr w:rsidR="008A0B4E" w:rsidRPr="00290685" w14:paraId="6ED969BC"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690409BF" w14:textId="77777777" w:rsidR="008A0B4E" w:rsidRPr="00290685" w:rsidRDefault="008A0B4E" w:rsidP="008A0B4E">
                  <w:pPr>
                    <w:jc w:val="center"/>
                    <w:rPr>
                      <w:rFonts w:ascii="Open Sans" w:hAnsi="Open Sans" w:cs="Open Sans"/>
                    </w:rPr>
                  </w:pPr>
                  <w:r w:rsidRPr="00290685">
                    <w:rPr>
                      <w:rFonts w:ascii="Open Sans" w:hAnsi="Open Sans" w:cs="Open Sans"/>
                      <w:b/>
                      <w:bCs/>
                      <w:color w:val="FFFFFF"/>
                      <w:sz w:val="20"/>
                      <w:szCs w:val="20"/>
                    </w:rPr>
                    <w:t>CATEGORÍA</w:t>
                  </w:r>
                </w:p>
              </w:tc>
              <w:tc>
                <w:tcPr>
                  <w:tcW w:w="0" w:type="auto"/>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5AF6E44A" w14:textId="77777777" w:rsidR="008A0B4E" w:rsidRPr="00290685" w:rsidRDefault="008A0B4E" w:rsidP="008A0B4E">
                  <w:pPr>
                    <w:jc w:val="center"/>
                    <w:rPr>
                      <w:rFonts w:ascii="Open Sans" w:hAnsi="Open Sans" w:cs="Open Sans"/>
                    </w:rPr>
                  </w:pPr>
                  <w:r w:rsidRPr="00290685">
                    <w:rPr>
                      <w:rFonts w:ascii="Open Sans" w:hAnsi="Open Sans" w:cs="Open Sans"/>
                      <w:b/>
                      <w:bCs/>
                      <w:color w:val="FFFFFF"/>
                      <w:sz w:val="20"/>
                      <w:szCs w:val="20"/>
                    </w:rPr>
                    <w:t>CANT.</w:t>
                  </w:r>
                </w:p>
              </w:tc>
              <w:tc>
                <w:tcPr>
                  <w:tcW w:w="0" w:type="auto"/>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4CA0C70B" w14:textId="77777777" w:rsidR="008A0B4E" w:rsidRPr="00290685" w:rsidRDefault="008A0B4E" w:rsidP="008A0B4E">
                  <w:pPr>
                    <w:jc w:val="center"/>
                    <w:rPr>
                      <w:rFonts w:ascii="Open Sans" w:hAnsi="Open Sans" w:cs="Open Sans"/>
                    </w:rPr>
                  </w:pPr>
                  <w:r w:rsidRPr="00290685">
                    <w:rPr>
                      <w:rFonts w:ascii="Open Sans" w:hAnsi="Open Sans" w:cs="Open Sans"/>
                      <w:b/>
                      <w:bCs/>
                      <w:color w:val="FFFFFF"/>
                      <w:sz w:val="20"/>
                      <w:szCs w:val="20"/>
                    </w:rPr>
                    <w:t>%</w:t>
                  </w:r>
                </w:p>
              </w:tc>
              <w:tc>
                <w:tcPr>
                  <w:tcW w:w="0" w:type="auto"/>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4F00DADF" w14:textId="77777777" w:rsidR="008A0B4E" w:rsidRPr="00290685" w:rsidRDefault="008A0B4E" w:rsidP="008A0B4E">
                  <w:pPr>
                    <w:jc w:val="center"/>
                    <w:rPr>
                      <w:rFonts w:ascii="Open Sans" w:hAnsi="Open Sans" w:cs="Open Sans"/>
                    </w:rPr>
                  </w:pPr>
                  <w:r w:rsidRPr="00290685">
                    <w:rPr>
                      <w:rFonts w:ascii="Open Sans" w:hAnsi="Open Sans" w:cs="Open Sans"/>
                      <w:b/>
                      <w:bCs/>
                      <w:color w:val="FFFFFF"/>
                      <w:sz w:val="20"/>
                      <w:szCs w:val="20"/>
                    </w:rPr>
                    <w:t>TENDENCIA</w:t>
                  </w:r>
                </w:p>
              </w:tc>
            </w:tr>
            <w:tr w:rsidR="008A0B4E" w:rsidRPr="00290685" w14:paraId="578D6824"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25BA5180" w14:textId="77777777" w:rsidR="008A0B4E" w:rsidRPr="00290685" w:rsidRDefault="008A0B4E" w:rsidP="008A0B4E">
                  <w:pPr>
                    <w:rPr>
                      <w:rFonts w:ascii="Open Sans" w:hAnsi="Open Sans" w:cs="Open Sans"/>
                    </w:rPr>
                  </w:pPr>
                  <w:r w:rsidRPr="00290685">
                    <w:rPr>
                      <w:rFonts w:ascii="Open Sans" w:hAnsi="Open Sans" w:cs="Open Sans"/>
                      <w:color w:val="333333"/>
                      <w:sz w:val="20"/>
                      <w:szCs w:val="20"/>
                    </w:rPr>
                    <w:t>Felicitaciones</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77D56D3E"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163</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51CCEA3E"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34%</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3D433D24" w14:textId="77777777" w:rsidR="008A0B4E" w:rsidRPr="00290685" w:rsidRDefault="008A0B4E" w:rsidP="00EF427C">
                  <w:pPr>
                    <w:rPr>
                      <w:rFonts w:ascii="Open Sans" w:hAnsi="Open Sans" w:cs="Open Sans"/>
                    </w:rPr>
                  </w:pPr>
                  <w:r w:rsidRPr="00290685">
                    <w:rPr>
                      <w:rFonts w:ascii="Open Sans" w:hAnsi="Open Sans" w:cs="Open Sans"/>
                      <w:color w:val="333333"/>
                      <w:sz w:val="20"/>
                      <w:szCs w:val="20"/>
                    </w:rPr>
                    <w:t>+61% vs 2024</w:t>
                  </w:r>
                </w:p>
              </w:tc>
            </w:tr>
            <w:tr w:rsidR="008A0B4E" w:rsidRPr="00290685" w14:paraId="69828648"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66E113A7" w14:textId="77777777" w:rsidR="008A0B4E" w:rsidRPr="00290685" w:rsidRDefault="008A0B4E" w:rsidP="008A0B4E">
                  <w:pPr>
                    <w:rPr>
                      <w:rFonts w:ascii="Open Sans" w:hAnsi="Open Sans" w:cs="Open Sans"/>
                    </w:rPr>
                  </w:pPr>
                  <w:r w:rsidRPr="00290685">
                    <w:rPr>
                      <w:rFonts w:ascii="Open Sans" w:hAnsi="Open Sans" w:cs="Open Sans"/>
                      <w:color w:val="333333"/>
                      <w:sz w:val="20"/>
                      <w:szCs w:val="20"/>
                    </w:rPr>
                    <w:t>Peticiones</w:t>
                  </w:r>
                </w:p>
              </w:tc>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63BBE10E"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195</w:t>
                  </w:r>
                </w:p>
              </w:tc>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39B5CBCD"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41%</w:t>
                  </w:r>
                </w:p>
              </w:tc>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0E5838AA" w14:textId="77777777" w:rsidR="008A0B4E" w:rsidRPr="00290685" w:rsidRDefault="008A0B4E" w:rsidP="00EF427C">
                  <w:pPr>
                    <w:rPr>
                      <w:rFonts w:ascii="Open Sans" w:hAnsi="Open Sans" w:cs="Open Sans"/>
                    </w:rPr>
                  </w:pPr>
                  <w:r w:rsidRPr="00290685">
                    <w:rPr>
                      <w:rFonts w:ascii="Open Sans" w:hAnsi="Open Sans" w:cs="Open Sans"/>
                      <w:color w:val="333333"/>
                      <w:sz w:val="20"/>
                      <w:szCs w:val="20"/>
                    </w:rPr>
                    <w:t>A la baja</w:t>
                  </w:r>
                </w:p>
              </w:tc>
            </w:tr>
            <w:tr w:rsidR="008A0B4E" w:rsidRPr="00290685" w14:paraId="2569063E"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4F665EA8" w14:textId="77777777" w:rsidR="008A0B4E" w:rsidRPr="00290685" w:rsidRDefault="008A0B4E" w:rsidP="008A0B4E">
                  <w:pPr>
                    <w:rPr>
                      <w:rFonts w:ascii="Open Sans" w:hAnsi="Open Sans" w:cs="Open Sans"/>
                    </w:rPr>
                  </w:pPr>
                  <w:r w:rsidRPr="00290685">
                    <w:rPr>
                      <w:rFonts w:ascii="Open Sans" w:hAnsi="Open Sans" w:cs="Open Sans"/>
                      <w:color w:val="333333"/>
                      <w:sz w:val="20"/>
                      <w:szCs w:val="20"/>
                    </w:rPr>
                    <w:t>Quejas</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254A3F74"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90</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2C71189D"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19%</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09C9FFDA" w14:textId="77777777" w:rsidR="008A0B4E" w:rsidRPr="00290685" w:rsidRDefault="008A0B4E" w:rsidP="00EF427C">
                  <w:pPr>
                    <w:rPr>
                      <w:rFonts w:ascii="Open Sans" w:hAnsi="Open Sans" w:cs="Open Sans"/>
                    </w:rPr>
                  </w:pPr>
                  <w:r w:rsidRPr="00290685">
                    <w:rPr>
                      <w:rFonts w:ascii="Open Sans" w:hAnsi="Open Sans" w:cs="Open Sans"/>
                      <w:color w:val="333333"/>
                      <w:sz w:val="20"/>
                      <w:szCs w:val="20"/>
                    </w:rPr>
                    <w:t>Reducción sostenida</w:t>
                  </w:r>
                </w:p>
              </w:tc>
            </w:tr>
            <w:tr w:rsidR="008A0B4E" w:rsidRPr="00290685" w14:paraId="2C12C289"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49214D44" w14:textId="77777777" w:rsidR="008A0B4E" w:rsidRPr="00290685" w:rsidRDefault="008A0B4E" w:rsidP="008A0B4E">
                  <w:pPr>
                    <w:rPr>
                      <w:rFonts w:ascii="Open Sans" w:hAnsi="Open Sans" w:cs="Open Sans"/>
                    </w:rPr>
                  </w:pPr>
                  <w:r w:rsidRPr="00290685">
                    <w:rPr>
                      <w:rFonts w:ascii="Open Sans" w:hAnsi="Open Sans" w:cs="Open Sans"/>
                      <w:color w:val="333333"/>
                      <w:sz w:val="20"/>
                      <w:szCs w:val="20"/>
                    </w:rPr>
                    <w:t>Reclamos</w:t>
                  </w:r>
                </w:p>
              </w:tc>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1D9E1441"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19</w:t>
                  </w:r>
                </w:p>
              </w:tc>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547BC054"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4%</w:t>
                  </w:r>
                </w:p>
              </w:tc>
              <w:tc>
                <w:tcPr>
                  <w:tcW w:w="0" w:type="auto"/>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2A8E31A1" w14:textId="77777777" w:rsidR="008A0B4E" w:rsidRPr="00290685" w:rsidRDefault="008A0B4E" w:rsidP="00EF427C">
                  <w:pPr>
                    <w:rPr>
                      <w:rFonts w:ascii="Open Sans" w:hAnsi="Open Sans" w:cs="Open Sans"/>
                    </w:rPr>
                  </w:pPr>
                  <w:r w:rsidRPr="00290685">
                    <w:rPr>
                      <w:rFonts w:ascii="Open Sans" w:hAnsi="Open Sans" w:cs="Open Sans"/>
                      <w:color w:val="333333"/>
                      <w:sz w:val="20"/>
                      <w:szCs w:val="20"/>
                    </w:rPr>
                    <w:t>Estable</w:t>
                  </w:r>
                </w:p>
              </w:tc>
            </w:tr>
            <w:tr w:rsidR="008A0B4E" w:rsidRPr="00290685" w14:paraId="2AA773C2"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66BDBB76" w14:textId="77777777" w:rsidR="008A0B4E" w:rsidRPr="00290685" w:rsidRDefault="008A0B4E" w:rsidP="008A0B4E">
                  <w:pPr>
                    <w:rPr>
                      <w:rFonts w:ascii="Open Sans" w:hAnsi="Open Sans" w:cs="Open Sans"/>
                    </w:rPr>
                  </w:pPr>
                  <w:r w:rsidRPr="00290685">
                    <w:rPr>
                      <w:rFonts w:ascii="Open Sans" w:hAnsi="Open Sans" w:cs="Open Sans"/>
                      <w:color w:val="333333"/>
                      <w:sz w:val="20"/>
                      <w:szCs w:val="20"/>
                    </w:rPr>
                    <w:t>Sugerencias</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17CD98D4"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9</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456CB344" w14:textId="77777777" w:rsidR="008A0B4E" w:rsidRPr="00290685" w:rsidRDefault="008A0B4E" w:rsidP="008A0B4E">
                  <w:pPr>
                    <w:jc w:val="center"/>
                    <w:rPr>
                      <w:rFonts w:ascii="Open Sans" w:hAnsi="Open Sans" w:cs="Open Sans"/>
                    </w:rPr>
                  </w:pPr>
                  <w:r w:rsidRPr="00290685">
                    <w:rPr>
                      <w:rFonts w:ascii="Open Sans" w:hAnsi="Open Sans" w:cs="Open Sans"/>
                      <w:color w:val="333333"/>
                      <w:sz w:val="20"/>
                      <w:szCs w:val="20"/>
                    </w:rPr>
                    <w:t>2%</w:t>
                  </w:r>
                </w:p>
              </w:tc>
              <w:tc>
                <w:tcPr>
                  <w:tcW w:w="0" w:type="auto"/>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7625FEA8" w14:textId="77777777" w:rsidR="008A0B4E" w:rsidRPr="00290685" w:rsidRDefault="008A0B4E" w:rsidP="00EF427C">
                  <w:pPr>
                    <w:rPr>
                      <w:rFonts w:ascii="Open Sans" w:hAnsi="Open Sans" w:cs="Open Sans"/>
                    </w:rPr>
                  </w:pPr>
                  <w:r w:rsidRPr="00290685">
                    <w:rPr>
                      <w:rFonts w:ascii="Open Sans" w:hAnsi="Open Sans" w:cs="Open Sans"/>
                      <w:color w:val="333333"/>
                      <w:sz w:val="20"/>
                      <w:szCs w:val="20"/>
                    </w:rPr>
                    <w:t>Estable</w:t>
                  </w:r>
                </w:p>
              </w:tc>
            </w:tr>
            <w:tr w:rsidR="008A0B4E" w:rsidRPr="00290685" w14:paraId="46640A6A" w14:textId="77777777" w:rsidTr="00483199">
              <w:trPr>
                <w:trHeight w:val="225"/>
                <w:jc w:val="center"/>
              </w:trPr>
              <w:tc>
                <w:tcPr>
                  <w:tcW w:w="0" w:type="auto"/>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7510B5B6" w14:textId="77777777" w:rsidR="008A0B4E" w:rsidRPr="00290685" w:rsidRDefault="008A0B4E" w:rsidP="008A0B4E">
                  <w:pPr>
                    <w:rPr>
                      <w:rFonts w:ascii="Open Sans" w:hAnsi="Open Sans" w:cs="Open Sans"/>
                    </w:rPr>
                  </w:pPr>
                  <w:proofErr w:type="gramStart"/>
                  <w:r w:rsidRPr="00290685">
                    <w:rPr>
                      <w:rFonts w:ascii="Open Sans" w:hAnsi="Open Sans" w:cs="Open Sans"/>
                      <w:b/>
                      <w:bCs/>
                      <w:color w:val="1F3864"/>
                      <w:sz w:val="20"/>
                      <w:szCs w:val="20"/>
                    </w:rPr>
                    <w:t>TOTAL</w:t>
                  </w:r>
                  <w:proofErr w:type="gramEnd"/>
                  <w:r w:rsidRPr="00290685">
                    <w:rPr>
                      <w:rFonts w:ascii="Open Sans" w:hAnsi="Open Sans" w:cs="Open Sans"/>
                      <w:b/>
                      <w:bCs/>
                      <w:color w:val="1F3864"/>
                      <w:sz w:val="20"/>
                      <w:szCs w:val="20"/>
                    </w:rPr>
                    <w:t xml:space="preserve"> GESTIONADAS</w:t>
                  </w:r>
                </w:p>
              </w:tc>
              <w:tc>
                <w:tcPr>
                  <w:tcW w:w="0" w:type="auto"/>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1D17F7F6" w14:textId="77777777" w:rsidR="008A0B4E" w:rsidRPr="00290685" w:rsidRDefault="008A0B4E" w:rsidP="008A0B4E">
                  <w:pPr>
                    <w:rPr>
                      <w:rFonts w:ascii="Open Sans" w:hAnsi="Open Sans" w:cs="Open Sans"/>
                    </w:rPr>
                  </w:pPr>
                  <w:r w:rsidRPr="00290685">
                    <w:rPr>
                      <w:rFonts w:ascii="Open Sans" w:hAnsi="Open Sans" w:cs="Open Sans"/>
                      <w:b/>
                      <w:bCs/>
                      <w:color w:val="1F3864"/>
                      <w:sz w:val="20"/>
                      <w:szCs w:val="20"/>
                    </w:rPr>
                    <w:t>475</w:t>
                  </w:r>
                </w:p>
              </w:tc>
              <w:tc>
                <w:tcPr>
                  <w:tcW w:w="0" w:type="auto"/>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3B906120" w14:textId="77777777" w:rsidR="008A0B4E" w:rsidRPr="00290685" w:rsidRDefault="008A0B4E" w:rsidP="008A0B4E">
                  <w:pPr>
                    <w:rPr>
                      <w:rFonts w:ascii="Open Sans" w:hAnsi="Open Sans" w:cs="Open Sans"/>
                    </w:rPr>
                  </w:pPr>
                  <w:r w:rsidRPr="00290685">
                    <w:rPr>
                      <w:rFonts w:ascii="Open Sans" w:hAnsi="Open Sans" w:cs="Open Sans"/>
                      <w:b/>
                      <w:bCs/>
                      <w:color w:val="1F3864"/>
                      <w:sz w:val="20"/>
                      <w:szCs w:val="20"/>
                    </w:rPr>
                    <w:t>100%</w:t>
                  </w:r>
                </w:p>
              </w:tc>
              <w:tc>
                <w:tcPr>
                  <w:tcW w:w="0" w:type="auto"/>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2CEACA6A" w14:textId="77777777" w:rsidR="008A0B4E" w:rsidRPr="00290685" w:rsidRDefault="008A0B4E" w:rsidP="00EF427C">
                  <w:pPr>
                    <w:rPr>
                      <w:rFonts w:ascii="Open Sans" w:hAnsi="Open Sans" w:cs="Open Sans"/>
                    </w:rPr>
                  </w:pPr>
                  <w:r w:rsidRPr="00290685">
                    <w:rPr>
                      <w:rFonts w:ascii="Open Sans" w:hAnsi="Open Sans" w:cs="Open Sans"/>
                      <w:b/>
                      <w:bCs/>
                      <w:color w:val="1F3864"/>
                      <w:sz w:val="20"/>
                      <w:szCs w:val="20"/>
                    </w:rPr>
                    <w:t>85% resueltas</w:t>
                  </w:r>
                </w:p>
              </w:tc>
            </w:tr>
          </w:tbl>
          <w:p w14:paraId="500AD64F" w14:textId="77777777" w:rsidR="00483199" w:rsidRDefault="00483199" w:rsidP="007725CC">
            <w:pPr>
              <w:pStyle w:val="udes1"/>
              <w:numPr>
                <w:ilvl w:val="0"/>
                <w:numId w:val="0"/>
              </w:numPr>
              <w:spacing w:line="276" w:lineRule="auto"/>
              <w:rPr>
                <w:rFonts w:ascii="Open Sans" w:eastAsia="Arial" w:hAnsi="Open Sans" w:cs="Open Sans"/>
                <w:b w:val="0"/>
                <w:bCs w:val="0"/>
                <w:color w:val="444444"/>
                <w:sz w:val="24"/>
                <w:lang w:val="es-CO" w:eastAsia="es-CO"/>
              </w:rPr>
            </w:pPr>
          </w:p>
          <w:p w14:paraId="42ED2387" w14:textId="77777777" w:rsidR="00A67F78" w:rsidRDefault="008A0B4E" w:rsidP="007725CC">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En materia de transparencia y control, los estados financieros de la vigencia se presentan bajo </w:t>
            </w:r>
            <w:r w:rsidRPr="00290685">
              <w:rPr>
                <w:rFonts w:ascii="Open Sans" w:eastAsia="Arial" w:hAnsi="Open Sans" w:cs="Open Sans"/>
                <w:color w:val="444444"/>
                <w:sz w:val="24"/>
                <w:lang w:val="es-CO" w:eastAsia="es-CO"/>
              </w:rPr>
              <w:t>Normas Internacionales de Información Financiera (NIIF)</w:t>
            </w:r>
            <w:r w:rsidRPr="00290685">
              <w:rPr>
                <w:rFonts w:ascii="Open Sans" w:eastAsia="Arial" w:hAnsi="Open Sans" w:cs="Open Sans"/>
                <w:b w:val="0"/>
                <w:bCs w:val="0"/>
                <w:color w:val="444444"/>
                <w:sz w:val="24"/>
                <w:lang w:val="es-CO" w:eastAsia="es-CO"/>
              </w:rPr>
              <w:t>, con seguimiento presupuestal desagregado por proceso y subproceso, garantizando trazabilidad, rigor técnico y alineación con los lineamientos institucionales</w:t>
            </w:r>
            <w:r w:rsidR="006E7B0E" w:rsidRPr="00290685">
              <w:rPr>
                <w:rFonts w:ascii="Open Sans" w:eastAsia="Arial" w:hAnsi="Open Sans" w:cs="Open Sans"/>
                <w:b w:val="0"/>
                <w:bCs w:val="0"/>
                <w:color w:val="444444"/>
                <w:sz w:val="24"/>
                <w:lang w:val="es-CO" w:eastAsia="es-CO"/>
              </w:rPr>
              <w:t>.</w:t>
            </w:r>
          </w:p>
          <w:p w14:paraId="00E0A5DA" w14:textId="16518292" w:rsidR="00E34FAE" w:rsidRPr="00290685" w:rsidRDefault="00E34FAE" w:rsidP="007725CC">
            <w:pPr>
              <w:pStyle w:val="udes1"/>
              <w:numPr>
                <w:ilvl w:val="0"/>
                <w:numId w:val="0"/>
              </w:numPr>
              <w:spacing w:line="276" w:lineRule="auto"/>
              <w:rPr>
                <w:rFonts w:ascii="Open Sans" w:hAnsi="Open Sans" w:cs="Open Sans"/>
                <w:sz w:val="24"/>
                <w:lang w:val="es-CO"/>
              </w:rPr>
            </w:pPr>
          </w:p>
        </w:tc>
      </w:tr>
    </w:tbl>
    <w:p w14:paraId="0FECE53F" w14:textId="77777777" w:rsidR="00483199" w:rsidRPr="00E34FAE" w:rsidRDefault="00483199" w:rsidP="004442A1">
      <w:pPr>
        <w:pStyle w:val="Ttulo2"/>
        <w:rPr>
          <w:rFonts w:ascii="Open Sans" w:hAnsi="Open Sans" w:cs="Open Sans"/>
          <w:sz w:val="2"/>
          <w:szCs w:val="2"/>
        </w:rPr>
      </w:pPr>
    </w:p>
    <w:tbl>
      <w:tblPr>
        <w:tblW w:w="9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2"/>
      </w:tblGrid>
      <w:tr w:rsidR="00E34FAE" w:rsidRPr="00290685" w14:paraId="4861BA6D" w14:textId="77777777" w:rsidTr="00566AA1">
        <w:tc>
          <w:tcPr>
            <w:tcW w:w="9842" w:type="dxa"/>
            <w:tcBorders>
              <w:top w:val="single" w:sz="1" w:space="0" w:color="AACCEE"/>
              <w:left w:val="single" w:sz="1" w:space="0" w:color="AACCEE"/>
              <w:bottom w:val="single" w:sz="1" w:space="0" w:color="AACCEE"/>
              <w:right w:val="single" w:sz="1" w:space="0" w:color="AACCEE"/>
            </w:tcBorders>
            <w:shd w:val="clear" w:color="auto" w:fill="D6E4F0"/>
            <w:tcMar>
              <w:top w:w="100" w:type="dxa"/>
              <w:left w:w="180" w:type="dxa"/>
              <w:bottom w:w="100" w:type="dxa"/>
              <w:right w:w="180" w:type="dxa"/>
            </w:tcMar>
          </w:tcPr>
          <w:p w14:paraId="5248A7FF" w14:textId="77777777" w:rsidR="00E34FAE" w:rsidRPr="00290685" w:rsidRDefault="00E34FAE" w:rsidP="00566AA1">
            <w:pPr>
              <w:rPr>
                <w:rFonts w:ascii="Open Sans" w:hAnsi="Open Sans" w:cs="Open Sans"/>
                <w:sz w:val="24"/>
                <w:szCs w:val="24"/>
              </w:rPr>
            </w:pPr>
            <w:r w:rsidRPr="00290685">
              <w:rPr>
                <w:rFonts w:ascii="Open Sans" w:hAnsi="Open Sans" w:cs="Open Sans"/>
                <w:b/>
                <w:bCs/>
                <w:color w:val="003366"/>
                <w:sz w:val="24"/>
                <w:szCs w:val="24"/>
              </w:rPr>
              <w:t>Pilar — Cultura universitaria de sostenibilidad</w:t>
            </w:r>
          </w:p>
        </w:tc>
      </w:tr>
      <w:tr w:rsidR="00E34FAE" w:rsidRPr="00290685" w14:paraId="549A766A" w14:textId="77777777" w:rsidTr="00566AA1">
        <w:tc>
          <w:tcPr>
            <w:tcW w:w="9842" w:type="dxa"/>
            <w:tcBorders>
              <w:top w:val="single" w:sz="1" w:space="0" w:color="AACCEE"/>
              <w:left w:val="single" w:sz="1" w:space="0" w:color="AACCEE"/>
              <w:bottom w:val="single" w:sz="1" w:space="0" w:color="AACCEE"/>
              <w:right w:val="single" w:sz="1" w:space="0" w:color="AACCEE"/>
            </w:tcBorders>
            <w:shd w:val="clear" w:color="auto" w:fill="FFFFFF"/>
            <w:tcMar>
              <w:top w:w="60" w:type="dxa"/>
              <w:left w:w="300" w:type="dxa"/>
              <w:bottom w:w="60" w:type="dxa"/>
              <w:right w:w="180" w:type="dxa"/>
            </w:tcMar>
          </w:tcPr>
          <w:p w14:paraId="6839CACD"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El cierre del ejercicio 2025 consolida a la UDES como una institución financieramente sólida y con una trayectoria sostenida de </w:t>
            </w:r>
            <w:proofErr w:type="spellStart"/>
            <w:r w:rsidRPr="00290685">
              <w:rPr>
                <w:rFonts w:ascii="Open Sans" w:eastAsia="Arial" w:hAnsi="Open Sans" w:cs="Open Sans"/>
                <w:b w:val="0"/>
                <w:bCs w:val="0"/>
                <w:color w:val="444444"/>
                <w:sz w:val="24"/>
                <w:lang w:val="es-CO" w:eastAsia="es-CO"/>
              </w:rPr>
              <w:t>desapalancamiento</w:t>
            </w:r>
            <w:proofErr w:type="spellEnd"/>
            <w:r w:rsidRPr="00290685">
              <w:rPr>
                <w:rFonts w:ascii="Open Sans" w:eastAsia="Arial" w:hAnsi="Open Sans" w:cs="Open Sans"/>
                <w:b w:val="0"/>
                <w:bCs w:val="0"/>
                <w:color w:val="444444"/>
                <w:sz w:val="24"/>
                <w:lang w:val="es-CO" w:eastAsia="es-CO"/>
              </w:rPr>
              <w:t xml:space="preserve">. El </w:t>
            </w:r>
            <w:r w:rsidRPr="00290685">
              <w:rPr>
                <w:rFonts w:ascii="Open Sans" w:eastAsia="Arial" w:hAnsi="Open Sans" w:cs="Open Sans"/>
                <w:color w:val="444444"/>
                <w:sz w:val="24"/>
                <w:lang w:val="es-CO" w:eastAsia="es-CO"/>
              </w:rPr>
              <w:t>índice de endeudamiento se ubicó en 0,24</w:t>
            </w:r>
            <w:r w:rsidRPr="00290685">
              <w:rPr>
                <w:rFonts w:ascii="Open Sans" w:eastAsia="Arial" w:hAnsi="Open Sans" w:cs="Open Sans"/>
                <w:b w:val="0"/>
                <w:bCs w:val="0"/>
                <w:color w:val="444444"/>
                <w:sz w:val="24"/>
                <w:lang w:val="es-CO" w:eastAsia="es-CO"/>
              </w:rPr>
              <w:t xml:space="preserve">, el registro más bajo de los últimos años, y representa una reducción del </w:t>
            </w:r>
            <w:r w:rsidRPr="00290685">
              <w:rPr>
                <w:rFonts w:ascii="Open Sans" w:eastAsia="Arial" w:hAnsi="Open Sans" w:cs="Open Sans"/>
                <w:color w:val="444444"/>
                <w:sz w:val="24"/>
                <w:lang w:val="es-CO" w:eastAsia="es-CO"/>
              </w:rPr>
              <w:t>37% frente a 2019</w:t>
            </w:r>
            <w:r w:rsidRPr="00290685">
              <w:rPr>
                <w:rFonts w:ascii="Open Sans" w:eastAsia="Arial" w:hAnsi="Open Sans" w:cs="Open Sans"/>
                <w:b w:val="0"/>
                <w:bCs w:val="0"/>
                <w:color w:val="444444"/>
                <w:sz w:val="24"/>
                <w:lang w:val="es-CO" w:eastAsia="es-CO"/>
              </w:rPr>
              <w:t xml:space="preserve">, evidenciando la madurez y disciplina financiera acumulada durante este periodo. Esta tendencia se refleja con especial claridad en la evolución del pasivo no corriente, que se redujo de </w:t>
            </w:r>
            <w:r w:rsidRPr="00290685">
              <w:rPr>
                <w:rFonts w:ascii="Open Sans" w:eastAsia="Arial" w:hAnsi="Open Sans" w:cs="Open Sans"/>
                <w:color w:val="444444"/>
                <w:sz w:val="24"/>
                <w:lang w:val="es-CO" w:eastAsia="es-CO"/>
              </w:rPr>
              <w:t>$32.856 millones a $3.824 millones</w:t>
            </w:r>
            <w:r w:rsidRPr="00290685">
              <w:rPr>
                <w:rFonts w:ascii="Open Sans" w:eastAsia="Arial" w:hAnsi="Open Sans" w:cs="Open Sans"/>
                <w:b w:val="0"/>
                <w:bCs w:val="0"/>
                <w:color w:val="444444"/>
                <w:sz w:val="24"/>
                <w:lang w:val="es-CO" w:eastAsia="es-CO"/>
              </w:rPr>
              <w:t xml:space="preserve"> (-88,4%), liberando flujo de caja futuro y mejorando sustancialmente el perfil de la deuda a largo plazo.</w:t>
            </w:r>
          </w:p>
          <w:p w14:paraId="0C260732"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p>
          <w:p w14:paraId="29EED225"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En paralelo, el patrimonio institucional alcanzó los </w:t>
            </w:r>
            <w:r w:rsidRPr="00290685">
              <w:rPr>
                <w:rFonts w:ascii="Open Sans" w:eastAsia="Arial" w:hAnsi="Open Sans" w:cs="Open Sans"/>
                <w:color w:val="444444"/>
                <w:sz w:val="24"/>
                <w:lang w:val="es-CO" w:eastAsia="es-CO"/>
              </w:rPr>
              <w:t>$325.788 millones</w:t>
            </w:r>
            <w:r w:rsidRPr="00290685">
              <w:rPr>
                <w:rFonts w:ascii="Open Sans" w:eastAsia="Arial" w:hAnsi="Open Sans" w:cs="Open Sans"/>
                <w:b w:val="0"/>
                <w:bCs w:val="0"/>
                <w:color w:val="444444"/>
                <w:sz w:val="24"/>
                <w:lang w:val="es-CO" w:eastAsia="es-CO"/>
              </w:rPr>
              <w:t xml:space="preserve"> (+3,3%), con excedentes acumulados que crecieron un </w:t>
            </w:r>
            <w:r w:rsidRPr="00290685">
              <w:rPr>
                <w:rFonts w:ascii="Open Sans" w:eastAsia="Arial" w:hAnsi="Open Sans" w:cs="Open Sans"/>
                <w:color w:val="444444"/>
                <w:sz w:val="24"/>
                <w:lang w:val="es-CO" w:eastAsia="es-CO"/>
              </w:rPr>
              <w:t>5,29%</w:t>
            </w:r>
            <w:r w:rsidRPr="00290685">
              <w:rPr>
                <w:rFonts w:ascii="Open Sans" w:eastAsia="Arial" w:hAnsi="Open Sans" w:cs="Open Sans"/>
                <w:b w:val="0"/>
                <w:bCs w:val="0"/>
                <w:color w:val="444444"/>
                <w:sz w:val="24"/>
                <w:lang w:val="es-CO" w:eastAsia="es-CO"/>
              </w:rPr>
              <w:t>, lo que fortalece la capacidad de la UDES para autofinanciar los proyectos de inversión proyectados para 2026 sin recurrir a endeudamiento adicional.</w:t>
            </w:r>
          </w:p>
          <w:p w14:paraId="4A00AC22"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p>
          <w:p w14:paraId="16D87443"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lastRenderedPageBreak/>
              <w:t xml:space="preserve">Este desempeño no se limita a la dimensión económica. La VAF incorpora la </w:t>
            </w:r>
            <w:r w:rsidRPr="00290685">
              <w:rPr>
                <w:rFonts w:ascii="Open Sans" w:eastAsia="Arial" w:hAnsi="Open Sans" w:cs="Open Sans"/>
                <w:color w:val="444444"/>
                <w:sz w:val="24"/>
                <w:lang w:val="es-CO" w:eastAsia="es-CO"/>
              </w:rPr>
              <w:t>responsabilidad ambiental y social</w:t>
            </w:r>
            <w:r w:rsidRPr="00290685">
              <w:rPr>
                <w:rFonts w:ascii="Open Sans" w:eastAsia="Arial" w:hAnsi="Open Sans" w:cs="Open Sans"/>
                <w:b w:val="0"/>
                <w:bCs w:val="0"/>
                <w:color w:val="444444"/>
                <w:sz w:val="24"/>
                <w:lang w:val="es-CO" w:eastAsia="es-CO"/>
              </w:rPr>
              <w:t xml:space="preserve"> como criterio rector de sus decisiones financieras y operativas, alineando la gestión de recursos con los principios de sostenibilidad integral del modelo institucional.</w:t>
            </w:r>
          </w:p>
          <w:p w14:paraId="08F0F500"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p>
          <w:p w14:paraId="1EF3BF7E" w14:textId="77777777" w:rsidR="00E34FAE"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Finalmente, la percepción sobre la asignación de recursos alcanzó un promedio general del </w:t>
            </w:r>
            <w:r w:rsidRPr="00290685">
              <w:rPr>
                <w:rFonts w:ascii="Open Sans" w:eastAsia="Arial" w:hAnsi="Open Sans" w:cs="Open Sans"/>
                <w:color w:val="444444"/>
                <w:sz w:val="24"/>
                <w:lang w:val="es-CO" w:eastAsia="es-CO"/>
              </w:rPr>
              <w:t>90,80%</w:t>
            </w:r>
            <w:r w:rsidRPr="00290685">
              <w:rPr>
                <w:rFonts w:ascii="Open Sans" w:eastAsia="Arial" w:hAnsi="Open Sans" w:cs="Open Sans"/>
                <w:b w:val="0"/>
                <w:bCs w:val="0"/>
                <w:color w:val="444444"/>
                <w:sz w:val="24"/>
                <w:lang w:val="es-CO" w:eastAsia="es-CO"/>
              </w:rPr>
              <w:t xml:space="preserve"> entre los tres campus, con resultados favorables en Valledupar (95,35%), Cúcuta (89,13%) y Bucaramanga (87,93%), confirmando que la comunidad universitaria valora positivamente la oportunidad y pertinencia con que la VAF responde a las necesidades de cada campus.</w:t>
            </w:r>
          </w:p>
          <w:p w14:paraId="08060AFC" w14:textId="77777777" w:rsidR="00E34FAE"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p>
          <w:p w14:paraId="6AE02097" w14:textId="77777777" w:rsidR="00E34FAE" w:rsidRPr="00290685" w:rsidRDefault="00E34FAE" w:rsidP="00566AA1">
            <w:pPr>
              <w:rPr>
                <w:rFonts w:ascii="Open Sans" w:hAnsi="Open Sans" w:cs="Open Sans"/>
                <w:b/>
                <w:bCs/>
                <w:sz w:val="24"/>
                <w:szCs w:val="24"/>
              </w:rPr>
            </w:pPr>
            <w:r w:rsidRPr="00290685">
              <w:rPr>
                <w:rFonts w:ascii="Open Sans" w:hAnsi="Open Sans" w:cs="Open Sans"/>
                <w:b/>
                <w:bCs/>
                <w:sz w:val="24"/>
                <w:szCs w:val="24"/>
              </w:rPr>
              <w:t>Tabla 2.</w:t>
            </w:r>
          </w:p>
          <w:p w14:paraId="334F1FCA" w14:textId="77777777" w:rsidR="00E34FAE" w:rsidRPr="00290685" w:rsidRDefault="00E34FAE" w:rsidP="00566AA1">
            <w:pPr>
              <w:rPr>
                <w:rFonts w:ascii="Open Sans" w:hAnsi="Open Sans" w:cs="Open Sans"/>
                <w:sz w:val="24"/>
                <w:szCs w:val="24"/>
              </w:rPr>
            </w:pPr>
            <w:r w:rsidRPr="00290685">
              <w:rPr>
                <w:rFonts w:ascii="Open Sans" w:hAnsi="Open Sans" w:cs="Open Sans"/>
                <w:i/>
                <w:iCs/>
                <w:sz w:val="24"/>
                <w:szCs w:val="24"/>
              </w:rPr>
              <w:t>Percepción de asignación de recursos por campus 2025</w:t>
            </w:r>
          </w:p>
          <w:tbl>
            <w:tblPr>
              <w:tblW w:w="7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2340"/>
              <w:gridCol w:w="2340"/>
            </w:tblGrid>
            <w:tr w:rsidR="00E34FAE" w:rsidRPr="00290685" w14:paraId="7CF1FD0D" w14:textId="77777777" w:rsidTr="00566AA1">
              <w:trPr>
                <w:jc w:val="center"/>
              </w:trPr>
              <w:tc>
                <w:tcPr>
                  <w:tcW w:w="2515" w:type="dxa"/>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7D83679D" w14:textId="77777777" w:rsidR="00E34FAE" w:rsidRPr="00290685" w:rsidRDefault="00E34FAE" w:rsidP="00566AA1">
                  <w:pPr>
                    <w:jc w:val="center"/>
                  </w:pPr>
                  <w:r w:rsidRPr="00290685">
                    <w:rPr>
                      <w:b/>
                      <w:bCs/>
                      <w:color w:val="FFFFFF"/>
                      <w:sz w:val="20"/>
                      <w:szCs w:val="20"/>
                    </w:rPr>
                    <w:t>CAMPUS</w:t>
                  </w:r>
                </w:p>
              </w:tc>
              <w:tc>
                <w:tcPr>
                  <w:tcW w:w="2340" w:type="dxa"/>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352AED12" w14:textId="77777777" w:rsidR="00E34FAE" w:rsidRPr="00290685" w:rsidRDefault="00E34FAE" w:rsidP="00566AA1">
                  <w:pPr>
                    <w:jc w:val="center"/>
                  </w:pPr>
                  <w:r w:rsidRPr="00290685">
                    <w:rPr>
                      <w:b/>
                      <w:bCs/>
                      <w:color w:val="FFFFFF"/>
                      <w:sz w:val="20"/>
                      <w:szCs w:val="20"/>
                    </w:rPr>
                    <w:t>2024</w:t>
                  </w:r>
                </w:p>
              </w:tc>
              <w:tc>
                <w:tcPr>
                  <w:tcW w:w="2340" w:type="dxa"/>
                  <w:tcBorders>
                    <w:top w:val="single" w:sz="1" w:space="0" w:color="B4C6E7"/>
                    <w:left w:val="single" w:sz="1" w:space="0" w:color="B4C6E7"/>
                    <w:bottom w:val="single" w:sz="1" w:space="0" w:color="B4C6E7"/>
                    <w:right w:val="single" w:sz="1" w:space="0" w:color="B4C6E7"/>
                  </w:tcBorders>
                  <w:shd w:val="clear" w:color="auto" w:fill="1F3864"/>
                  <w:tcMar>
                    <w:top w:w="100" w:type="dxa"/>
                    <w:left w:w="140" w:type="dxa"/>
                    <w:bottom w:w="100" w:type="dxa"/>
                    <w:right w:w="140" w:type="dxa"/>
                  </w:tcMar>
                  <w:vAlign w:val="center"/>
                </w:tcPr>
                <w:p w14:paraId="4AD588E8" w14:textId="77777777" w:rsidR="00E34FAE" w:rsidRPr="00290685" w:rsidRDefault="00E34FAE" w:rsidP="00566AA1">
                  <w:pPr>
                    <w:jc w:val="center"/>
                  </w:pPr>
                  <w:r w:rsidRPr="00290685">
                    <w:rPr>
                      <w:b/>
                      <w:bCs/>
                      <w:color w:val="FFFFFF"/>
                      <w:sz w:val="20"/>
                      <w:szCs w:val="20"/>
                    </w:rPr>
                    <w:t>2025</w:t>
                  </w:r>
                </w:p>
              </w:tc>
            </w:tr>
            <w:tr w:rsidR="00E34FAE" w:rsidRPr="00290685" w14:paraId="0A026541" w14:textId="77777777" w:rsidTr="00566AA1">
              <w:trPr>
                <w:jc w:val="center"/>
              </w:trPr>
              <w:tc>
                <w:tcPr>
                  <w:tcW w:w="2515" w:type="dxa"/>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6A85D494" w14:textId="77777777" w:rsidR="00E34FAE" w:rsidRPr="00290685" w:rsidRDefault="00E34FAE" w:rsidP="00566AA1">
                  <w:r w:rsidRPr="00290685">
                    <w:rPr>
                      <w:color w:val="333333"/>
                      <w:sz w:val="20"/>
                      <w:szCs w:val="20"/>
                    </w:rPr>
                    <w:t>Valledupar</w:t>
                  </w:r>
                </w:p>
              </w:tc>
              <w:tc>
                <w:tcPr>
                  <w:tcW w:w="2340" w:type="dxa"/>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2B393185" w14:textId="77777777" w:rsidR="00E34FAE" w:rsidRPr="00290685" w:rsidRDefault="00E34FAE" w:rsidP="00566AA1">
                  <w:pPr>
                    <w:jc w:val="center"/>
                  </w:pPr>
                  <w:r w:rsidRPr="00290685">
                    <w:rPr>
                      <w:color w:val="333333"/>
                      <w:sz w:val="20"/>
                      <w:szCs w:val="20"/>
                    </w:rPr>
                    <w:t>79,17%</w:t>
                  </w:r>
                </w:p>
              </w:tc>
              <w:tc>
                <w:tcPr>
                  <w:tcW w:w="2340" w:type="dxa"/>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4C2D898B" w14:textId="77777777" w:rsidR="00E34FAE" w:rsidRPr="00290685" w:rsidRDefault="00E34FAE" w:rsidP="00566AA1">
                  <w:pPr>
                    <w:jc w:val="center"/>
                  </w:pPr>
                  <w:r w:rsidRPr="00290685">
                    <w:rPr>
                      <w:color w:val="333333"/>
                      <w:sz w:val="20"/>
                      <w:szCs w:val="20"/>
                    </w:rPr>
                    <w:t>95,35% ▲</w:t>
                  </w:r>
                </w:p>
              </w:tc>
            </w:tr>
            <w:tr w:rsidR="00E34FAE" w:rsidRPr="00290685" w14:paraId="105DE88A" w14:textId="77777777" w:rsidTr="00566AA1">
              <w:trPr>
                <w:jc w:val="center"/>
              </w:trPr>
              <w:tc>
                <w:tcPr>
                  <w:tcW w:w="2515" w:type="dxa"/>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18F3143B" w14:textId="77777777" w:rsidR="00E34FAE" w:rsidRPr="00290685" w:rsidRDefault="00E34FAE" w:rsidP="00566AA1">
                  <w:r w:rsidRPr="00290685">
                    <w:rPr>
                      <w:color w:val="333333"/>
                      <w:sz w:val="20"/>
                      <w:szCs w:val="20"/>
                    </w:rPr>
                    <w:t>Cúcuta</w:t>
                  </w:r>
                </w:p>
              </w:tc>
              <w:tc>
                <w:tcPr>
                  <w:tcW w:w="234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405BD5F4" w14:textId="77777777" w:rsidR="00E34FAE" w:rsidRPr="00290685" w:rsidRDefault="00E34FAE" w:rsidP="00566AA1">
                  <w:pPr>
                    <w:jc w:val="center"/>
                  </w:pPr>
                  <w:r w:rsidRPr="00290685">
                    <w:rPr>
                      <w:color w:val="333333"/>
                      <w:sz w:val="20"/>
                      <w:szCs w:val="20"/>
                    </w:rPr>
                    <w:t>92,31%</w:t>
                  </w:r>
                </w:p>
              </w:tc>
              <w:tc>
                <w:tcPr>
                  <w:tcW w:w="2340" w:type="dxa"/>
                  <w:tcBorders>
                    <w:top w:val="single" w:sz="1" w:space="0" w:color="B4C6E7"/>
                    <w:left w:val="single" w:sz="1" w:space="0" w:color="B4C6E7"/>
                    <w:bottom w:val="single" w:sz="1" w:space="0" w:color="B4C6E7"/>
                    <w:right w:val="single" w:sz="1" w:space="0" w:color="B4C6E7"/>
                  </w:tcBorders>
                  <w:shd w:val="clear" w:color="auto" w:fill="FFFFFF"/>
                  <w:tcMar>
                    <w:top w:w="80" w:type="dxa"/>
                    <w:left w:w="140" w:type="dxa"/>
                    <w:bottom w:w="80" w:type="dxa"/>
                    <w:right w:w="140" w:type="dxa"/>
                  </w:tcMar>
                  <w:vAlign w:val="center"/>
                </w:tcPr>
                <w:p w14:paraId="1E2BC62A" w14:textId="77777777" w:rsidR="00E34FAE" w:rsidRPr="00290685" w:rsidRDefault="00E34FAE" w:rsidP="00566AA1">
                  <w:pPr>
                    <w:jc w:val="center"/>
                  </w:pPr>
                  <w:r w:rsidRPr="00290685">
                    <w:rPr>
                      <w:color w:val="333333"/>
                      <w:sz w:val="20"/>
                      <w:szCs w:val="20"/>
                    </w:rPr>
                    <w:t xml:space="preserve">89,13% </w:t>
                  </w:r>
                  <w:r w:rsidRPr="00290685">
                    <w:rPr>
                      <w:rFonts w:ascii="Cambria Math" w:hAnsi="Cambria Math" w:cs="Cambria Math"/>
                      <w:color w:val="333333"/>
                      <w:sz w:val="20"/>
                      <w:szCs w:val="20"/>
                    </w:rPr>
                    <w:t>▽</w:t>
                  </w:r>
                </w:p>
              </w:tc>
            </w:tr>
            <w:tr w:rsidR="00E34FAE" w:rsidRPr="00290685" w14:paraId="6995FB63" w14:textId="77777777" w:rsidTr="00566AA1">
              <w:trPr>
                <w:jc w:val="center"/>
              </w:trPr>
              <w:tc>
                <w:tcPr>
                  <w:tcW w:w="2515" w:type="dxa"/>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7DAEC135" w14:textId="77777777" w:rsidR="00E34FAE" w:rsidRPr="00290685" w:rsidRDefault="00E34FAE" w:rsidP="00566AA1">
                  <w:r w:rsidRPr="00290685">
                    <w:rPr>
                      <w:color w:val="333333"/>
                      <w:sz w:val="20"/>
                      <w:szCs w:val="20"/>
                    </w:rPr>
                    <w:t>Bucaramanga</w:t>
                  </w:r>
                </w:p>
              </w:tc>
              <w:tc>
                <w:tcPr>
                  <w:tcW w:w="2340" w:type="dxa"/>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34370E9B" w14:textId="77777777" w:rsidR="00E34FAE" w:rsidRPr="00290685" w:rsidRDefault="00E34FAE" w:rsidP="00566AA1">
                  <w:pPr>
                    <w:jc w:val="center"/>
                  </w:pPr>
                  <w:r w:rsidRPr="00290685">
                    <w:rPr>
                      <w:color w:val="333333"/>
                      <w:sz w:val="20"/>
                      <w:szCs w:val="20"/>
                    </w:rPr>
                    <w:t>83,64%</w:t>
                  </w:r>
                </w:p>
              </w:tc>
              <w:tc>
                <w:tcPr>
                  <w:tcW w:w="2340" w:type="dxa"/>
                  <w:tcBorders>
                    <w:top w:val="single" w:sz="1" w:space="0" w:color="B4C6E7"/>
                    <w:left w:val="single" w:sz="1" w:space="0" w:color="B4C6E7"/>
                    <w:bottom w:val="single" w:sz="1" w:space="0" w:color="B4C6E7"/>
                    <w:right w:val="single" w:sz="1" w:space="0" w:color="B4C6E7"/>
                  </w:tcBorders>
                  <w:shd w:val="clear" w:color="auto" w:fill="EEF2F9"/>
                  <w:tcMar>
                    <w:top w:w="80" w:type="dxa"/>
                    <w:left w:w="140" w:type="dxa"/>
                    <w:bottom w:w="80" w:type="dxa"/>
                    <w:right w:w="140" w:type="dxa"/>
                  </w:tcMar>
                  <w:vAlign w:val="center"/>
                </w:tcPr>
                <w:p w14:paraId="3F382FFE" w14:textId="77777777" w:rsidR="00E34FAE" w:rsidRPr="00290685" w:rsidRDefault="00E34FAE" w:rsidP="00566AA1">
                  <w:pPr>
                    <w:jc w:val="center"/>
                  </w:pPr>
                  <w:r w:rsidRPr="00290685">
                    <w:rPr>
                      <w:color w:val="333333"/>
                      <w:sz w:val="20"/>
                      <w:szCs w:val="20"/>
                    </w:rPr>
                    <w:t>87,93% ▲</w:t>
                  </w:r>
                </w:p>
              </w:tc>
            </w:tr>
            <w:tr w:rsidR="00E34FAE" w:rsidRPr="00290685" w14:paraId="7E4B44F5" w14:textId="77777777" w:rsidTr="00566AA1">
              <w:trPr>
                <w:jc w:val="center"/>
              </w:trPr>
              <w:tc>
                <w:tcPr>
                  <w:tcW w:w="2515" w:type="dxa"/>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39D9F62F" w14:textId="77777777" w:rsidR="00E34FAE" w:rsidRPr="00290685" w:rsidRDefault="00E34FAE" w:rsidP="00566AA1">
                  <w:r w:rsidRPr="00290685">
                    <w:rPr>
                      <w:b/>
                      <w:bCs/>
                      <w:color w:val="1F3864"/>
                      <w:sz w:val="20"/>
                      <w:szCs w:val="20"/>
                    </w:rPr>
                    <w:t>PROMEDIO GENERAL</w:t>
                  </w:r>
                </w:p>
              </w:tc>
              <w:tc>
                <w:tcPr>
                  <w:tcW w:w="2340" w:type="dxa"/>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79C62E28" w14:textId="77777777" w:rsidR="00E34FAE" w:rsidRPr="00290685" w:rsidRDefault="00E34FAE" w:rsidP="00566AA1">
                  <w:pPr>
                    <w:jc w:val="center"/>
                  </w:pPr>
                  <w:r w:rsidRPr="00290685">
                    <w:rPr>
                      <w:b/>
                      <w:bCs/>
                      <w:color w:val="1F3864"/>
                      <w:sz w:val="20"/>
                      <w:szCs w:val="20"/>
                    </w:rPr>
                    <w:t>85,04%</w:t>
                  </w:r>
                </w:p>
              </w:tc>
              <w:tc>
                <w:tcPr>
                  <w:tcW w:w="2340" w:type="dxa"/>
                  <w:tcBorders>
                    <w:top w:val="single" w:sz="1" w:space="0" w:color="B4C6E7"/>
                    <w:left w:val="single" w:sz="1" w:space="0" w:color="B4C6E7"/>
                    <w:bottom w:val="single" w:sz="1" w:space="0" w:color="B4C6E7"/>
                    <w:right w:val="single" w:sz="1" w:space="0" w:color="B4C6E7"/>
                  </w:tcBorders>
                  <w:shd w:val="clear" w:color="auto" w:fill="D9E2F3"/>
                  <w:tcMar>
                    <w:top w:w="80" w:type="dxa"/>
                    <w:left w:w="140" w:type="dxa"/>
                    <w:bottom w:w="80" w:type="dxa"/>
                    <w:right w:w="140" w:type="dxa"/>
                  </w:tcMar>
                  <w:vAlign w:val="center"/>
                </w:tcPr>
                <w:p w14:paraId="42E5A081" w14:textId="77777777" w:rsidR="00E34FAE" w:rsidRPr="00290685" w:rsidRDefault="00E34FAE" w:rsidP="00566AA1">
                  <w:pPr>
                    <w:jc w:val="center"/>
                  </w:pPr>
                  <w:r w:rsidRPr="00290685">
                    <w:rPr>
                      <w:b/>
                      <w:bCs/>
                      <w:color w:val="1F3864"/>
                      <w:sz w:val="20"/>
                      <w:szCs w:val="20"/>
                    </w:rPr>
                    <w:t>90,80% ▲</w:t>
                  </w:r>
                </w:p>
              </w:tc>
            </w:tr>
          </w:tbl>
          <w:p w14:paraId="28A171E0" w14:textId="77777777" w:rsidR="00E34FAE" w:rsidRPr="00290685" w:rsidRDefault="00E34FAE" w:rsidP="00566AA1">
            <w:pPr>
              <w:pStyle w:val="udes1"/>
              <w:numPr>
                <w:ilvl w:val="0"/>
                <w:numId w:val="0"/>
              </w:numPr>
              <w:spacing w:line="276" w:lineRule="auto"/>
              <w:rPr>
                <w:rFonts w:ascii="Open Sans" w:eastAsia="Arial" w:hAnsi="Open Sans" w:cs="Open Sans"/>
                <w:b w:val="0"/>
                <w:bCs w:val="0"/>
                <w:color w:val="444444"/>
                <w:sz w:val="24"/>
                <w:lang w:val="es-CO" w:eastAsia="es-CO"/>
              </w:rPr>
            </w:pPr>
          </w:p>
        </w:tc>
      </w:tr>
    </w:tbl>
    <w:p w14:paraId="1D9E3B10" w14:textId="77777777" w:rsidR="00872C9E" w:rsidRPr="00290685" w:rsidRDefault="00872C9E" w:rsidP="00872C9E">
      <w:pPr>
        <w:pStyle w:val="Ttulo2"/>
        <w:rPr>
          <w:rFonts w:ascii="Open Sans" w:hAnsi="Open Sans" w:cs="Open Sans"/>
          <w:sz w:val="24"/>
          <w:szCs w:val="24"/>
        </w:rPr>
      </w:pPr>
      <w:bookmarkStart w:id="3" w:name="_Toc225515006"/>
      <w:r>
        <w:rPr>
          <w:rFonts w:ascii="Open Sans" w:hAnsi="Open Sans" w:cs="Open Sans"/>
          <w:sz w:val="24"/>
          <w:szCs w:val="24"/>
        </w:rPr>
        <w:lastRenderedPageBreak/>
        <w:t>2</w:t>
      </w:r>
      <w:r w:rsidRPr="0BA901D7">
        <w:rPr>
          <w:rFonts w:ascii="Open Sans" w:hAnsi="Open Sans" w:cs="Open Sans"/>
          <w:sz w:val="24"/>
          <w:szCs w:val="24"/>
        </w:rPr>
        <w:t>. Resultados</w:t>
      </w:r>
      <w:r>
        <w:rPr>
          <w:rFonts w:ascii="Open Sans" w:hAnsi="Open Sans" w:cs="Open Sans"/>
          <w:sz w:val="24"/>
          <w:szCs w:val="24"/>
        </w:rPr>
        <w:t xml:space="preserve"> financieros</w:t>
      </w:r>
      <w:bookmarkEnd w:id="3"/>
    </w:p>
    <w:p w14:paraId="5A4C86F0" w14:textId="0AC5EA51" w:rsidR="00872C9E" w:rsidRDefault="00872C9E" w:rsidP="00872C9E">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La información financiera presentada corresponde al periodo del 1° de enero al 31 de diciembre de 2025, expresada en miles de pesos bajo las Normas Internacionales de Información Financiera (NIIF).</w:t>
      </w:r>
    </w:p>
    <w:p w14:paraId="02ECFFEF" w14:textId="65BAE184" w:rsidR="00E34FAE" w:rsidRDefault="00872C9E" w:rsidP="004442A1">
      <w:pPr>
        <w:pStyle w:val="Ttulo2"/>
        <w:rPr>
          <w:rFonts w:ascii="Open Sans" w:hAnsi="Open Sans" w:cs="Open Sans"/>
          <w:sz w:val="24"/>
          <w:szCs w:val="24"/>
        </w:rPr>
      </w:pPr>
      <w:bookmarkStart w:id="4" w:name="_Toc225515007"/>
      <w:r w:rsidRPr="00872C9E">
        <w:rPr>
          <w:rFonts w:ascii="Open Sans" w:hAnsi="Open Sans" w:cs="Open Sans"/>
          <w:noProof/>
          <w:sz w:val="24"/>
          <w:szCs w:val="24"/>
        </w:rPr>
        <w:drawing>
          <wp:anchor distT="0" distB="0" distL="114300" distR="114300" simplePos="0" relativeHeight="251662336" behindDoc="0" locked="0" layoutInCell="1" allowOverlap="1" wp14:anchorId="066881FB" wp14:editId="0BB4981F">
            <wp:simplePos x="0" y="0"/>
            <wp:positionH relativeFrom="margin">
              <wp:posOffset>858180</wp:posOffset>
            </wp:positionH>
            <wp:positionV relativeFrom="paragraph">
              <wp:posOffset>85444</wp:posOffset>
            </wp:positionV>
            <wp:extent cx="4476115" cy="2438400"/>
            <wp:effectExtent l="0" t="0" r="635" b="0"/>
            <wp:wrapSquare wrapText="bothSides"/>
            <wp:docPr id="518549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49616" name=""/>
                    <pic:cNvPicPr/>
                  </pic:nvPicPr>
                  <pic:blipFill>
                    <a:blip r:embed="rId13">
                      <a:extLst>
                        <a:ext uri="{28A0092B-C50C-407E-A947-70E740481C1C}">
                          <a14:useLocalDpi xmlns:a14="http://schemas.microsoft.com/office/drawing/2010/main" val="0"/>
                        </a:ext>
                      </a:extLst>
                    </a:blip>
                    <a:stretch>
                      <a:fillRect/>
                    </a:stretch>
                  </pic:blipFill>
                  <pic:spPr>
                    <a:xfrm>
                      <a:off x="0" y="0"/>
                      <a:ext cx="4476115" cy="2438400"/>
                    </a:xfrm>
                    <a:prstGeom prst="rect">
                      <a:avLst/>
                    </a:prstGeom>
                  </pic:spPr>
                </pic:pic>
              </a:graphicData>
            </a:graphic>
            <wp14:sizeRelH relativeFrom="margin">
              <wp14:pctWidth>0</wp14:pctWidth>
            </wp14:sizeRelH>
            <wp14:sizeRelV relativeFrom="margin">
              <wp14:pctHeight>0</wp14:pctHeight>
            </wp14:sizeRelV>
          </wp:anchor>
        </w:drawing>
      </w:r>
      <w:bookmarkEnd w:id="4"/>
    </w:p>
    <w:p w14:paraId="32439CCC" w14:textId="6FB5F9C4" w:rsidR="005341B3" w:rsidRDefault="005341B3" w:rsidP="003E0713">
      <w:pPr>
        <w:spacing w:before="80" w:after="80"/>
        <w:jc w:val="center"/>
        <w:rPr>
          <w:rFonts w:ascii="Open Sans" w:hAnsi="Open Sans" w:cs="Open Sans"/>
          <w:color w:val="333333"/>
        </w:rPr>
      </w:pPr>
      <w:r>
        <w:rPr>
          <w:noProof/>
        </w:rPr>
        <w:lastRenderedPageBreak/>
        <w:drawing>
          <wp:inline distT="0" distB="0" distL="0" distR="0" wp14:anchorId="08B6181B" wp14:editId="4CC76DC5">
            <wp:extent cx="5019675" cy="7172325"/>
            <wp:effectExtent l="0" t="0" r="9525" b="9525"/>
            <wp:docPr id="194439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254" name=""/>
                    <pic:cNvPicPr/>
                  </pic:nvPicPr>
                  <pic:blipFill>
                    <a:blip r:embed="rId14"/>
                    <a:stretch>
                      <a:fillRect/>
                    </a:stretch>
                  </pic:blipFill>
                  <pic:spPr>
                    <a:xfrm>
                      <a:off x="0" y="0"/>
                      <a:ext cx="5019675" cy="7172325"/>
                    </a:xfrm>
                    <a:prstGeom prst="rect">
                      <a:avLst/>
                    </a:prstGeom>
                  </pic:spPr>
                </pic:pic>
              </a:graphicData>
            </a:graphic>
          </wp:inline>
        </w:drawing>
      </w:r>
    </w:p>
    <w:p w14:paraId="68AA22F6" w14:textId="0A517376" w:rsidR="005341B3" w:rsidRDefault="00EF427C" w:rsidP="003E0713">
      <w:pPr>
        <w:spacing w:before="80" w:after="80"/>
        <w:rPr>
          <w:rFonts w:ascii="Open Sans" w:hAnsi="Open Sans" w:cs="Open Sans"/>
          <w:color w:val="333333"/>
          <w:sz w:val="16"/>
          <w:szCs w:val="16"/>
        </w:rPr>
      </w:pPr>
      <w:r>
        <w:rPr>
          <w:rFonts w:ascii="Open Sans" w:hAnsi="Open Sans" w:cs="Open Sans"/>
          <w:color w:val="333333"/>
          <w:sz w:val="16"/>
          <w:szCs w:val="16"/>
        </w:rPr>
        <w:t xml:space="preserve">Nota: </w:t>
      </w:r>
      <w:r w:rsidRPr="00EF427C">
        <w:rPr>
          <w:rFonts w:ascii="Open Sans" w:hAnsi="Open Sans" w:cs="Open Sans"/>
          <w:color w:val="333333"/>
          <w:sz w:val="16"/>
          <w:szCs w:val="16"/>
        </w:rPr>
        <w:t>Cifras preliminares con corte a 31/12/2025, expresadas en miles de pesos COP.</w:t>
      </w:r>
    </w:p>
    <w:p w14:paraId="231DD993" w14:textId="333BC8B8" w:rsidR="00542BB9" w:rsidRPr="00290685" w:rsidRDefault="00542BB9" w:rsidP="00542BB9">
      <w:pPr>
        <w:spacing w:before="60" w:after="40"/>
        <w:rPr>
          <w:rFonts w:ascii="Open Sans" w:hAnsi="Open Sans" w:cs="Open Sans"/>
          <w:b/>
          <w:bCs/>
          <w:color w:val="003366"/>
          <w:sz w:val="24"/>
          <w:szCs w:val="24"/>
        </w:rPr>
      </w:pPr>
      <w:r w:rsidRPr="00290685">
        <w:rPr>
          <w:rFonts w:ascii="Open Sans" w:hAnsi="Open Sans" w:cs="Open Sans"/>
          <w:b/>
          <w:bCs/>
          <w:color w:val="003366"/>
          <w:sz w:val="24"/>
          <w:szCs w:val="24"/>
        </w:rPr>
        <w:t>Estado de Situación Financiera (Activos)</w:t>
      </w:r>
    </w:p>
    <w:p w14:paraId="4B30ADED" w14:textId="35FC5153" w:rsidR="00542BB9" w:rsidRPr="00290685" w:rsidRDefault="00542BB9" w:rsidP="00542BB9">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La gestión de los activos institucionales se mantuvo de manera positiva, representando para el año 2025 un activo total de $427.447 millones, base sólida que sustenta la </w:t>
      </w:r>
      <w:r w:rsidRPr="00290685">
        <w:rPr>
          <w:rFonts w:ascii="Open Sans" w:eastAsia="Arial" w:hAnsi="Open Sans" w:cs="Open Sans"/>
          <w:b w:val="0"/>
          <w:bCs w:val="0"/>
          <w:color w:val="444444"/>
          <w:sz w:val="24"/>
          <w:lang w:val="es-CO" w:eastAsia="es-CO"/>
        </w:rPr>
        <w:lastRenderedPageBreak/>
        <w:t xml:space="preserve">capacidad instalada de la Universidad. </w:t>
      </w:r>
      <w:r w:rsidR="00C81E79" w:rsidRPr="00290685">
        <w:rPr>
          <w:rFonts w:ascii="Open Sans" w:eastAsia="Arial" w:hAnsi="Open Sans" w:cs="Open Sans"/>
          <w:b w:val="0"/>
          <w:bCs w:val="0"/>
          <w:color w:val="444444"/>
          <w:sz w:val="24"/>
          <w:lang w:val="es-CO" w:eastAsia="es-CO"/>
        </w:rPr>
        <w:t xml:space="preserve">Los activos corrientes </w:t>
      </w:r>
      <w:r w:rsidR="005341B3">
        <w:rPr>
          <w:rFonts w:ascii="Open Sans" w:eastAsia="Arial" w:hAnsi="Open Sans" w:cs="Open Sans"/>
          <w:b w:val="0"/>
          <w:bCs w:val="0"/>
          <w:color w:val="444444"/>
          <w:sz w:val="24"/>
          <w:lang w:val="es-CO" w:eastAsia="es-CO"/>
        </w:rPr>
        <w:t xml:space="preserve">representan un cambio estructural importante en la liquidez </w:t>
      </w:r>
      <w:r w:rsidR="00C81E79" w:rsidRPr="00290685">
        <w:rPr>
          <w:rFonts w:ascii="Open Sans" w:eastAsia="Arial" w:hAnsi="Open Sans" w:cs="Open Sans"/>
          <w:b w:val="0"/>
          <w:bCs w:val="0"/>
          <w:color w:val="444444"/>
          <w:sz w:val="24"/>
          <w:lang w:val="es-CO" w:eastAsia="es-CO"/>
        </w:rPr>
        <w:t>incrementa</w:t>
      </w:r>
      <w:r w:rsidR="005341B3">
        <w:rPr>
          <w:rFonts w:ascii="Open Sans" w:eastAsia="Arial" w:hAnsi="Open Sans" w:cs="Open Sans"/>
          <w:b w:val="0"/>
          <w:bCs w:val="0"/>
          <w:color w:val="444444"/>
          <w:sz w:val="24"/>
          <w:lang w:val="es-CO" w:eastAsia="es-CO"/>
        </w:rPr>
        <w:t>ndo 22.3</w:t>
      </w:r>
      <w:r w:rsidR="00C81E79" w:rsidRPr="00290685">
        <w:rPr>
          <w:rFonts w:ascii="Open Sans" w:eastAsia="Arial" w:hAnsi="Open Sans" w:cs="Open Sans"/>
          <w:b w:val="0"/>
          <w:bCs w:val="0"/>
          <w:color w:val="444444"/>
          <w:sz w:val="24"/>
          <w:lang w:val="es-CO" w:eastAsia="es-CO"/>
        </w:rPr>
        <w:t>% ($</w:t>
      </w:r>
      <w:r w:rsidR="005341B3">
        <w:rPr>
          <w:rFonts w:ascii="Open Sans" w:eastAsia="Arial" w:hAnsi="Open Sans" w:cs="Open Sans"/>
          <w:b w:val="0"/>
          <w:bCs w:val="0"/>
          <w:color w:val="444444"/>
          <w:sz w:val="24"/>
          <w:lang w:val="es-CO" w:eastAsia="es-CO"/>
        </w:rPr>
        <w:t>18.509</w:t>
      </w:r>
      <w:r w:rsidR="003E0713">
        <w:rPr>
          <w:rFonts w:ascii="Open Sans" w:eastAsia="Arial" w:hAnsi="Open Sans" w:cs="Open Sans"/>
          <w:b w:val="0"/>
          <w:bCs w:val="0"/>
          <w:color w:val="444444"/>
          <w:sz w:val="24"/>
          <w:lang w:val="es-CO" w:eastAsia="es-CO"/>
        </w:rPr>
        <w:t xml:space="preserve"> </w:t>
      </w:r>
      <w:r w:rsidR="00C81E79" w:rsidRPr="00290685">
        <w:rPr>
          <w:rFonts w:ascii="Open Sans" w:eastAsia="Arial" w:hAnsi="Open Sans" w:cs="Open Sans"/>
          <w:b w:val="0"/>
          <w:bCs w:val="0"/>
          <w:color w:val="444444"/>
          <w:sz w:val="24"/>
          <w:lang w:val="es-CO" w:eastAsia="es-CO"/>
        </w:rPr>
        <w:t xml:space="preserve">millones), </w:t>
      </w:r>
      <w:r w:rsidR="005341B3">
        <w:rPr>
          <w:rFonts w:ascii="Open Sans" w:eastAsia="Arial" w:hAnsi="Open Sans" w:cs="Open Sans"/>
          <w:b w:val="0"/>
          <w:bCs w:val="0"/>
          <w:color w:val="444444"/>
          <w:sz w:val="24"/>
          <w:lang w:val="es-CO" w:eastAsia="es-CO"/>
        </w:rPr>
        <w:t>notariamente el efectivo disminuyó por lo que hay una menor capacidad de pagos de contado y será un reto para la Vicerrectoría Administrativa y Financiera mantener un índice de liquidez sano; respecto a la</w:t>
      </w:r>
      <w:r w:rsidRPr="00290685">
        <w:rPr>
          <w:rFonts w:ascii="Open Sans" w:eastAsia="Arial" w:hAnsi="Open Sans" w:cs="Open Sans"/>
          <w:b w:val="0"/>
          <w:bCs w:val="0"/>
          <w:color w:val="444444"/>
          <w:sz w:val="24"/>
          <w:lang w:val="es-CO" w:eastAsia="es-CO"/>
        </w:rPr>
        <w:t xml:space="preserve"> Propiedad, Planta y Equipo</w:t>
      </w:r>
      <w:r w:rsidR="005341B3">
        <w:rPr>
          <w:rFonts w:ascii="Open Sans" w:eastAsia="Arial" w:hAnsi="Open Sans" w:cs="Open Sans"/>
          <w:b w:val="0"/>
          <w:bCs w:val="0"/>
          <w:color w:val="444444"/>
          <w:sz w:val="24"/>
          <w:lang w:val="es-CO" w:eastAsia="es-CO"/>
        </w:rPr>
        <w:t xml:space="preserve"> se destinaron unos activos para la venta</w:t>
      </w:r>
      <w:r w:rsidR="00F70AE8">
        <w:rPr>
          <w:rFonts w:ascii="Open Sans" w:eastAsia="Arial" w:hAnsi="Open Sans" w:cs="Open Sans"/>
          <w:b w:val="0"/>
          <w:bCs w:val="0"/>
          <w:color w:val="444444"/>
          <w:sz w:val="24"/>
          <w:lang w:val="es-CO" w:eastAsia="es-CO"/>
        </w:rPr>
        <w:t xml:space="preserve"> que garanticen la disponibilidad de liquidez para nuevas inversiones en infraestructura</w:t>
      </w:r>
      <w:r w:rsidRPr="00290685">
        <w:rPr>
          <w:rFonts w:ascii="Open Sans" w:eastAsia="Arial" w:hAnsi="Open Sans" w:cs="Open Sans"/>
          <w:b w:val="0"/>
          <w:bCs w:val="0"/>
          <w:color w:val="444444"/>
          <w:sz w:val="24"/>
          <w:lang w:val="es-CO" w:eastAsia="es-CO"/>
        </w:rPr>
        <w:t>, reafirmando el compromiso institucional.</w:t>
      </w:r>
    </w:p>
    <w:p w14:paraId="258D288D" w14:textId="77777777" w:rsidR="00542BB9" w:rsidRPr="00290685" w:rsidRDefault="00542BB9" w:rsidP="00542BB9">
      <w:pPr>
        <w:pStyle w:val="udes1"/>
        <w:numPr>
          <w:ilvl w:val="0"/>
          <w:numId w:val="0"/>
        </w:numPr>
        <w:spacing w:line="276" w:lineRule="auto"/>
        <w:rPr>
          <w:rFonts w:ascii="Open Sans" w:eastAsia="Arial" w:hAnsi="Open Sans" w:cs="Open Sans"/>
          <w:b w:val="0"/>
          <w:bCs w:val="0"/>
          <w:color w:val="444444"/>
          <w:sz w:val="24"/>
          <w:lang w:val="es-CO" w:eastAsia="es-CO"/>
        </w:rPr>
      </w:pPr>
    </w:p>
    <w:p w14:paraId="33597FB1" w14:textId="77777777" w:rsidR="00542BB9" w:rsidRPr="00290685" w:rsidRDefault="00542BB9" w:rsidP="00542BB9">
      <w:pPr>
        <w:spacing w:before="60" w:after="40"/>
        <w:rPr>
          <w:rFonts w:ascii="Open Sans" w:hAnsi="Open Sans" w:cs="Open Sans"/>
          <w:b/>
          <w:bCs/>
          <w:color w:val="003366"/>
          <w:sz w:val="24"/>
          <w:szCs w:val="24"/>
        </w:rPr>
      </w:pPr>
      <w:r w:rsidRPr="00290685">
        <w:rPr>
          <w:rFonts w:ascii="Open Sans" w:hAnsi="Open Sans" w:cs="Open Sans"/>
          <w:b/>
          <w:bCs/>
          <w:color w:val="003366"/>
          <w:sz w:val="24"/>
          <w:szCs w:val="24"/>
        </w:rPr>
        <w:t>Estrategia de Endeudamiento y Sostenibilidad</w:t>
      </w:r>
    </w:p>
    <w:p w14:paraId="3AA494ED" w14:textId="7902CAC2" w:rsidR="00542BB9" w:rsidRDefault="00542BB9" w:rsidP="005341B3">
      <w:pPr>
        <w:pStyle w:val="udes1"/>
        <w:numPr>
          <w:ilvl w:val="0"/>
          <w:numId w:val="0"/>
        </w:numPr>
        <w:spacing w:line="276" w:lineRule="auto"/>
        <w:rPr>
          <w:rFonts w:ascii="Open Sans" w:eastAsia="Arial" w:hAnsi="Open Sans" w:cs="Open Sans"/>
          <w:b w:val="0"/>
          <w:bCs w:val="0"/>
          <w:color w:val="444444"/>
          <w:sz w:val="24"/>
          <w:lang w:val="es-CO" w:eastAsia="es-CO"/>
        </w:rPr>
      </w:pPr>
      <w:r w:rsidRPr="00290685">
        <w:rPr>
          <w:rFonts w:ascii="Open Sans" w:eastAsia="Arial" w:hAnsi="Open Sans" w:cs="Open Sans"/>
          <w:b w:val="0"/>
          <w:bCs w:val="0"/>
          <w:color w:val="444444"/>
          <w:sz w:val="24"/>
          <w:lang w:val="es-CO" w:eastAsia="es-CO"/>
        </w:rPr>
        <w:t xml:space="preserve">Se destaca una reducción </w:t>
      </w:r>
      <w:r w:rsidR="003E0713">
        <w:rPr>
          <w:rFonts w:ascii="Open Sans" w:eastAsia="Arial" w:hAnsi="Open Sans" w:cs="Open Sans"/>
          <w:b w:val="0"/>
          <w:bCs w:val="0"/>
          <w:color w:val="444444"/>
          <w:sz w:val="24"/>
          <w:lang w:val="es-CO" w:eastAsia="es-CO"/>
        </w:rPr>
        <w:t>total del</w:t>
      </w:r>
      <w:r w:rsidRPr="00290685">
        <w:rPr>
          <w:rFonts w:ascii="Open Sans" w:eastAsia="Arial" w:hAnsi="Open Sans" w:cs="Open Sans"/>
          <w:b w:val="0"/>
          <w:bCs w:val="0"/>
          <w:color w:val="444444"/>
          <w:sz w:val="24"/>
          <w:lang w:val="es-CO" w:eastAsia="es-CO"/>
        </w:rPr>
        <w:t xml:space="preserve"> Pasivo </w:t>
      </w:r>
      <w:r w:rsidR="003E0713">
        <w:rPr>
          <w:rFonts w:ascii="Open Sans" w:eastAsia="Arial" w:hAnsi="Open Sans" w:cs="Open Sans"/>
          <w:b w:val="0"/>
          <w:bCs w:val="0"/>
          <w:color w:val="444444"/>
          <w:sz w:val="24"/>
          <w:lang w:val="es-CO" w:eastAsia="es-CO"/>
        </w:rPr>
        <w:t>en un 14,8% principalmente en los pasivos financieros no corrientes que disminuyeron un 88%</w:t>
      </w:r>
      <w:r w:rsidRPr="00290685">
        <w:rPr>
          <w:rFonts w:ascii="Open Sans" w:eastAsia="Arial" w:hAnsi="Open Sans" w:cs="Open Sans"/>
          <w:b w:val="0"/>
          <w:bCs w:val="0"/>
          <w:color w:val="444444"/>
          <w:sz w:val="24"/>
          <w:lang w:val="es-CO" w:eastAsia="es-CO"/>
        </w:rPr>
        <w:t xml:space="preserve"> en el perfil de la deuda a largo plazo, liberando flujo de caja futuro. El índice de endeudamiento </w:t>
      </w:r>
      <w:r w:rsidR="003E0713">
        <w:rPr>
          <w:rFonts w:ascii="Open Sans" w:eastAsia="Arial" w:hAnsi="Open Sans" w:cs="Open Sans"/>
          <w:b w:val="0"/>
          <w:bCs w:val="0"/>
          <w:color w:val="444444"/>
          <w:sz w:val="24"/>
          <w:lang w:val="es-CO" w:eastAsia="es-CO"/>
        </w:rPr>
        <w:t>bajó del 27.4% al 23,7%</w:t>
      </w:r>
      <w:r w:rsidRPr="00290685">
        <w:rPr>
          <w:rFonts w:ascii="Open Sans" w:eastAsia="Arial" w:hAnsi="Open Sans" w:cs="Open Sans"/>
          <w:b w:val="0"/>
          <w:bCs w:val="0"/>
          <w:color w:val="444444"/>
          <w:sz w:val="24"/>
          <w:lang w:val="es-CO" w:eastAsia="es-CO"/>
        </w:rPr>
        <w:t>, evidenciando una reducción desde 2019 en la dependencia de recursos de terceros.</w:t>
      </w:r>
    </w:p>
    <w:p w14:paraId="5EB01405" w14:textId="77777777" w:rsidR="003E0713" w:rsidRDefault="003E0713" w:rsidP="005341B3">
      <w:pPr>
        <w:pStyle w:val="udes1"/>
        <w:numPr>
          <w:ilvl w:val="0"/>
          <w:numId w:val="0"/>
        </w:numPr>
        <w:spacing w:line="276" w:lineRule="auto"/>
        <w:rPr>
          <w:rFonts w:ascii="Open Sans" w:eastAsia="Arial" w:hAnsi="Open Sans" w:cs="Open Sans"/>
          <w:b w:val="0"/>
          <w:bCs w:val="0"/>
          <w:color w:val="444444"/>
          <w:sz w:val="24"/>
          <w:lang w:val="es-CO" w:eastAsia="es-CO"/>
        </w:rPr>
      </w:pPr>
    </w:p>
    <w:p w14:paraId="7FB3CCE5" w14:textId="02E06488" w:rsidR="003E0713" w:rsidRDefault="003E0713" w:rsidP="003E0713">
      <w:pPr>
        <w:spacing w:before="60" w:after="40"/>
        <w:rPr>
          <w:rFonts w:ascii="Open Sans" w:hAnsi="Open Sans" w:cs="Open Sans"/>
          <w:b/>
          <w:bCs/>
          <w:color w:val="003366"/>
          <w:sz w:val="24"/>
          <w:szCs w:val="24"/>
        </w:rPr>
      </w:pPr>
      <w:r>
        <w:rPr>
          <w:rFonts w:ascii="Open Sans" w:hAnsi="Open Sans" w:cs="Open Sans"/>
          <w:b/>
          <w:bCs/>
          <w:color w:val="003366"/>
          <w:sz w:val="24"/>
          <w:szCs w:val="24"/>
        </w:rPr>
        <w:t>Excedente del ejercicio</w:t>
      </w:r>
    </w:p>
    <w:p w14:paraId="41B00CA7" w14:textId="05CE06C8" w:rsidR="003E0713" w:rsidRPr="003E0713" w:rsidRDefault="003E0713" w:rsidP="003E0713">
      <w:pPr>
        <w:spacing w:before="60" w:after="40"/>
        <w:jc w:val="both"/>
        <w:rPr>
          <w:rFonts w:ascii="Open Sans" w:hAnsi="Open Sans" w:cs="Open Sans"/>
          <w:color w:val="444444"/>
          <w:sz w:val="24"/>
          <w:szCs w:val="24"/>
        </w:rPr>
      </w:pPr>
      <w:r>
        <w:rPr>
          <w:rFonts w:ascii="Open Sans" w:hAnsi="Open Sans" w:cs="Open Sans"/>
          <w:color w:val="444444"/>
          <w:sz w:val="24"/>
          <w:szCs w:val="24"/>
        </w:rPr>
        <w:t>El excedente del ejercicio disminuyó un 15,6% cerrando en $ 16.001 millones; lo cual tendrá que destinarse como reinversión priorizada en recursos ya destinados de manera presupuestal. El patrimonio total si creció un 33,3% teniendo en cuenta los excedentes acumulados manteniendo una base sólida para la UDES.</w:t>
      </w:r>
    </w:p>
    <w:p w14:paraId="7E8431FE" w14:textId="77777777" w:rsidR="005341B3" w:rsidRPr="003E0713" w:rsidRDefault="005341B3" w:rsidP="005341B3">
      <w:pPr>
        <w:pStyle w:val="udes1"/>
        <w:numPr>
          <w:ilvl w:val="0"/>
          <w:numId w:val="0"/>
        </w:numPr>
        <w:spacing w:line="276" w:lineRule="auto"/>
        <w:rPr>
          <w:rFonts w:ascii="Open Sans" w:eastAsia="Arial" w:hAnsi="Open Sans" w:cs="Open Sans"/>
          <w:b w:val="0"/>
          <w:bCs w:val="0"/>
          <w:color w:val="444444"/>
          <w:sz w:val="18"/>
          <w:szCs w:val="18"/>
          <w:lang w:val="es-CO" w:eastAsia="es-CO"/>
        </w:rPr>
      </w:pPr>
    </w:p>
    <w:p w14:paraId="37262111" w14:textId="0D20EE85" w:rsidR="003E02E9" w:rsidRDefault="005341B3" w:rsidP="00EF427C">
      <w:pPr>
        <w:jc w:val="center"/>
        <w:rPr>
          <w:rFonts w:ascii="Open Sans" w:hAnsi="Open Sans" w:cs="Open Sans"/>
        </w:rPr>
      </w:pPr>
      <w:r>
        <w:rPr>
          <w:noProof/>
        </w:rPr>
        <w:drawing>
          <wp:inline distT="0" distB="0" distL="0" distR="0" wp14:anchorId="436B274D" wp14:editId="337A9F33">
            <wp:extent cx="6172200" cy="3376930"/>
            <wp:effectExtent l="0" t="0" r="0" b="0"/>
            <wp:docPr id="380328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8373" name=""/>
                    <pic:cNvPicPr/>
                  </pic:nvPicPr>
                  <pic:blipFill>
                    <a:blip r:embed="rId15"/>
                    <a:stretch>
                      <a:fillRect/>
                    </a:stretch>
                  </pic:blipFill>
                  <pic:spPr>
                    <a:xfrm>
                      <a:off x="0" y="0"/>
                      <a:ext cx="6172200" cy="3376930"/>
                    </a:xfrm>
                    <a:prstGeom prst="rect">
                      <a:avLst/>
                    </a:prstGeom>
                  </pic:spPr>
                </pic:pic>
              </a:graphicData>
            </a:graphic>
          </wp:inline>
        </w:drawing>
      </w:r>
    </w:p>
    <w:p w14:paraId="3D9AB994" w14:textId="77777777" w:rsidR="003E0713" w:rsidRDefault="00EF427C" w:rsidP="003E0713">
      <w:pPr>
        <w:rPr>
          <w:rFonts w:ascii="Open Sans" w:hAnsi="Open Sans" w:cs="Open Sans"/>
          <w:color w:val="333333"/>
          <w:sz w:val="16"/>
          <w:szCs w:val="16"/>
        </w:rPr>
      </w:pPr>
      <w:r>
        <w:rPr>
          <w:rFonts w:ascii="Open Sans" w:hAnsi="Open Sans" w:cs="Open Sans"/>
          <w:color w:val="333333"/>
          <w:sz w:val="16"/>
          <w:szCs w:val="16"/>
        </w:rPr>
        <w:t xml:space="preserve">Nota: </w:t>
      </w:r>
      <w:r w:rsidRPr="00EF427C">
        <w:rPr>
          <w:rFonts w:ascii="Open Sans" w:hAnsi="Open Sans" w:cs="Open Sans"/>
          <w:color w:val="333333"/>
          <w:sz w:val="16"/>
          <w:szCs w:val="16"/>
        </w:rPr>
        <w:t xml:space="preserve">Cifras preliminares con corte a 31/12/2025, expresadas en miles de pesos COP. </w:t>
      </w:r>
    </w:p>
    <w:p w14:paraId="524B4AE3" w14:textId="67DCEA1E" w:rsidR="00BA560D" w:rsidRPr="00B30BFC" w:rsidRDefault="00BA560D" w:rsidP="00B30BFC">
      <w:pPr>
        <w:pStyle w:val="Prrafodelista"/>
        <w:numPr>
          <w:ilvl w:val="0"/>
          <w:numId w:val="7"/>
        </w:numPr>
        <w:jc w:val="both"/>
        <w:rPr>
          <w:rFonts w:ascii="Open Sans" w:hAnsi="Open Sans" w:cs="Open Sans"/>
          <w:sz w:val="24"/>
          <w:szCs w:val="24"/>
        </w:rPr>
      </w:pPr>
      <w:r w:rsidRPr="003E0713">
        <w:rPr>
          <w:rFonts w:ascii="Open Sans" w:hAnsi="Open Sans" w:cs="Open Sans"/>
          <w:color w:val="333333"/>
          <w:sz w:val="24"/>
          <w:szCs w:val="24"/>
        </w:rPr>
        <w:lastRenderedPageBreak/>
        <w:t>Ingresos por actividades ordinarias: $204.354 millones (+7,0% vs 2024), reflejo de mayor captación y retención de estudiantes.</w:t>
      </w:r>
    </w:p>
    <w:p w14:paraId="3CAE974F" w14:textId="77777777" w:rsidR="00B30BFC" w:rsidRPr="00B30BFC" w:rsidRDefault="00B30BFC" w:rsidP="00B30BFC">
      <w:pPr>
        <w:pStyle w:val="Prrafodelista"/>
        <w:ind w:left="720"/>
        <w:jc w:val="both"/>
        <w:rPr>
          <w:rFonts w:ascii="Open Sans" w:hAnsi="Open Sans" w:cs="Open Sans"/>
          <w:sz w:val="24"/>
          <w:szCs w:val="24"/>
        </w:rPr>
      </w:pPr>
    </w:p>
    <w:p w14:paraId="1A76A8FE" w14:textId="608195E0" w:rsidR="00B30BFC" w:rsidRPr="00B30BFC" w:rsidRDefault="00B30BFC" w:rsidP="00B30BFC">
      <w:pPr>
        <w:pStyle w:val="Prrafodelista"/>
        <w:numPr>
          <w:ilvl w:val="0"/>
          <w:numId w:val="7"/>
        </w:numPr>
        <w:jc w:val="both"/>
        <w:rPr>
          <w:rFonts w:ascii="Open Sans" w:hAnsi="Open Sans" w:cs="Open Sans"/>
          <w:sz w:val="24"/>
          <w:szCs w:val="24"/>
        </w:rPr>
      </w:pPr>
      <w:r>
        <w:rPr>
          <w:rFonts w:ascii="Open Sans" w:hAnsi="Open Sans" w:cs="Open Sans"/>
          <w:color w:val="333333"/>
          <w:sz w:val="24"/>
          <w:szCs w:val="24"/>
        </w:rPr>
        <w:t>Costo de ventas y operación: Aumentaron un 6,3% ($ 140.100 millones) sin embargo, el excedente bruto mejoró un 8,6%, lo cual refleja una buena eficiencia en la operación.</w:t>
      </w:r>
    </w:p>
    <w:p w14:paraId="15F76D50" w14:textId="77777777" w:rsidR="00B30BFC" w:rsidRPr="00B30BFC" w:rsidRDefault="00B30BFC" w:rsidP="00B30BFC">
      <w:pPr>
        <w:pStyle w:val="Prrafodelista"/>
        <w:jc w:val="both"/>
        <w:rPr>
          <w:rFonts w:ascii="Open Sans" w:hAnsi="Open Sans" w:cs="Open Sans"/>
          <w:sz w:val="24"/>
          <w:szCs w:val="24"/>
        </w:rPr>
      </w:pPr>
    </w:p>
    <w:p w14:paraId="0E816B20" w14:textId="04C7C340" w:rsidR="00B30BFC" w:rsidRPr="00B30BFC" w:rsidRDefault="00B30BFC" w:rsidP="00B30BFC">
      <w:pPr>
        <w:pStyle w:val="Prrafodelista"/>
        <w:numPr>
          <w:ilvl w:val="0"/>
          <w:numId w:val="7"/>
        </w:numPr>
        <w:jc w:val="both"/>
        <w:rPr>
          <w:rFonts w:ascii="Open Sans" w:hAnsi="Open Sans" w:cs="Open Sans"/>
          <w:sz w:val="24"/>
          <w:szCs w:val="24"/>
        </w:rPr>
      </w:pPr>
      <w:r>
        <w:rPr>
          <w:rFonts w:ascii="Open Sans" w:hAnsi="Open Sans" w:cs="Open Sans"/>
          <w:sz w:val="24"/>
          <w:szCs w:val="24"/>
        </w:rPr>
        <w:t>Se deben continuar buscando nuevas formas de obtención en otros ingresos, fue una de las cifras con caída de un 61% pasando de $ 13.785 millones a sólo $ 5.370 millones en el año 2025; esta es la razón del menor excedente a pesar de que hubo efectividad institucional en el desarrollo de la actividad principal de ingresos.</w:t>
      </w:r>
    </w:p>
    <w:p w14:paraId="7CE31102" w14:textId="77777777" w:rsidR="00B30BFC" w:rsidRPr="00B30BFC" w:rsidRDefault="00B30BFC" w:rsidP="00B30BFC">
      <w:pPr>
        <w:rPr>
          <w:rFonts w:ascii="Open Sans" w:hAnsi="Open Sans" w:cs="Open Sans"/>
          <w:sz w:val="24"/>
          <w:szCs w:val="24"/>
        </w:rPr>
      </w:pPr>
    </w:p>
    <w:p w14:paraId="7B1B16B6" w14:textId="162EA267" w:rsidR="00BA560D" w:rsidRPr="00290685" w:rsidRDefault="00BA560D" w:rsidP="00417459">
      <w:pPr>
        <w:spacing w:before="60" w:after="40"/>
        <w:rPr>
          <w:rFonts w:ascii="Open Sans" w:hAnsi="Open Sans" w:cs="Open Sans"/>
          <w:b/>
          <w:bCs/>
          <w:color w:val="003366"/>
          <w:sz w:val="24"/>
          <w:szCs w:val="24"/>
        </w:rPr>
      </w:pPr>
      <w:r w:rsidRPr="00290685">
        <w:rPr>
          <w:rFonts w:ascii="Open Sans" w:hAnsi="Open Sans" w:cs="Open Sans"/>
          <w:b/>
          <w:bCs/>
          <w:color w:val="003366"/>
          <w:sz w:val="24"/>
          <w:szCs w:val="24"/>
        </w:rPr>
        <w:t>Tres Ejes de Alto Impacto</w:t>
      </w:r>
      <w:r w:rsidR="00417459" w:rsidRPr="00290685">
        <w:rPr>
          <w:rFonts w:ascii="Open Sans" w:hAnsi="Open Sans" w:cs="Open Sans"/>
          <w:b/>
          <w:bCs/>
          <w:color w:val="003366"/>
          <w:sz w:val="24"/>
          <w:szCs w:val="24"/>
        </w:rPr>
        <w:t xml:space="preserve"> (</w:t>
      </w:r>
      <w:r w:rsidRPr="00290685">
        <w:rPr>
          <w:rFonts w:ascii="Open Sans" w:hAnsi="Open Sans" w:cs="Open Sans"/>
          <w:b/>
          <w:bCs/>
          <w:color w:val="003366"/>
          <w:sz w:val="24"/>
          <w:szCs w:val="24"/>
        </w:rPr>
        <w:t>Gestión Financiera</w:t>
      </w:r>
      <w:r w:rsidR="00417459" w:rsidRPr="00290685">
        <w:rPr>
          <w:rFonts w:ascii="Open Sans" w:hAnsi="Open Sans" w:cs="Open Sans"/>
          <w:b/>
          <w:bCs/>
          <w:color w:val="003366"/>
          <w:sz w:val="24"/>
          <w:szCs w:val="24"/>
        </w:rPr>
        <w:t>)</w:t>
      </w:r>
    </w:p>
    <w:p w14:paraId="59432D64" w14:textId="77777777" w:rsidR="00BA560D" w:rsidRPr="004442A1" w:rsidRDefault="00BA560D" w:rsidP="009A2F30">
      <w:pPr>
        <w:pStyle w:val="Prrafodelista"/>
        <w:numPr>
          <w:ilvl w:val="0"/>
          <w:numId w:val="3"/>
        </w:numPr>
        <w:spacing w:before="60" w:after="60"/>
        <w:jc w:val="both"/>
        <w:rPr>
          <w:rFonts w:ascii="Open Sans" w:hAnsi="Open Sans" w:cs="Open Sans"/>
          <w:sz w:val="24"/>
          <w:szCs w:val="24"/>
        </w:rPr>
      </w:pPr>
      <w:r w:rsidRPr="004442A1">
        <w:rPr>
          <w:rFonts w:ascii="Open Sans" w:hAnsi="Open Sans" w:cs="Open Sans"/>
          <w:color w:val="333333"/>
          <w:sz w:val="24"/>
          <w:szCs w:val="24"/>
        </w:rPr>
        <w:t>Inclusión y Mitigación de la Deserción: soluciones financieras orientadas a facilitar el acceso a la educación superior y reducir brechas de deserción.</w:t>
      </w:r>
    </w:p>
    <w:p w14:paraId="0131371D" w14:textId="77777777" w:rsidR="00BA560D" w:rsidRPr="004442A1" w:rsidRDefault="00BA560D" w:rsidP="009A2F30">
      <w:pPr>
        <w:pStyle w:val="Prrafodelista"/>
        <w:numPr>
          <w:ilvl w:val="0"/>
          <w:numId w:val="3"/>
        </w:numPr>
        <w:spacing w:before="60" w:after="60"/>
        <w:jc w:val="both"/>
        <w:rPr>
          <w:rFonts w:ascii="Open Sans" w:hAnsi="Open Sans" w:cs="Open Sans"/>
          <w:sz w:val="24"/>
          <w:szCs w:val="24"/>
        </w:rPr>
      </w:pPr>
      <w:r w:rsidRPr="004442A1">
        <w:rPr>
          <w:rFonts w:ascii="Open Sans" w:hAnsi="Open Sans" w:cs="Open Sans"/>
          <w:color w:val="333333"/>
          <w:sz w:val="24"/>
          <w:szCs w:val="24"/>
        </w:rPr>
        <w:t>Diversificación de Ingresos y Solidez Financiera: identificación de nuevas fuentes de ingresos que otorguen resiliencia a la Universidad.</w:t>
      </w:r>
    </w:p>
    <w:p w14:paraId="581C0895" w14:textId="77777777" w:rsidR="00BA560D" w:rsidRPr="004442A1" w:rsidRDefault="00BA560D" w:rsidP="009A2F30">
      <w:pPr>
        <w:pStyle w:val="Prrafodelista"/>
        <w:numPr>
          <w:ilvl w:val="0"/>
          <w:numId w:val="3"/>
        </w:numPr>
        <w:spacing w:before="60" w:after="60"/>
        <w:jc w:val="both"/>
        <w:rPr>
          <w:rFonts w:ascii="Open Sans" w:hAnsi="Open Sans" w:cs="Open Sans"/>
          <w:sz w:val="24"/>
          <w:szCs w:val="24"/>
        </w:rPr>
      </w:pPr>
      <w:r w:rsidRPr="004442A1">
        <w:rPr>
          <w:rFonts w:ascii="Open Sans" w:hAnsi="Open Sans" w:cs="Open Sans"/>
          <w:color w:val="333333"/>
          <w:sz w:val="24"/>
          <w:szCs w:val="24"/>
        </w:rPr>
        <w:t>Inversión en Infraestructura e Innovación: reinversión estratégica en espacios físicos y plataformas tecnológicas para responder con agilidad a las exigencias académicas modernas.</w:t>
      </w:r>
    </w:p>
    <w:p w14:paraId="35C66489" w14:textId="77777777" w:rsidR="004442A1" w:rsidRPr="00483199" w:rsidRDefault="004442A1" w:rsidP="004442A1">
      <w:pPr>
        <w:spacing w:before="60" w:after="60"/>
        <w:jc w:val="both"/>
        <w:rPr>
          <w:rFonts w:ascii="Open Sans" w:hAnsi="Open Sans" w:cs="Open Sans"/>
          <w:sz w:val="8"/>
          <w:szCs w:val="8"/>
        </w:rPr>
      </w:pPr>
    </w:p>
    <w:p w14:paraId="6348D5FF" w14:textId="383FB5BE" w:rsidR="00483199" w:rsidRPr="00290685" w:rsidRDefault="00483199" w:rsidP="00483199">
      <w:pPr>
        <w:pStyle w:val="Ttulo2"/>
        <w:rPr>
          <w:rFonts w:ascii="Open Sans" w:hAnsi="Open Sans" w:cs="Open Sans"/>
          <w:sz w:val="24"/>
          <w:szCs w:val="24"/>
        </w:rPr>
      </w:pPr>
      <w:bookmarkStart w:id="5" w:name="_Toc225515008"/>
      <w:r>
        <w:rPr>
          <w:rFonts w:ascii="Open Sans" w:hAnsi="Open Sans" w:cs="Open Sans"/>
          <w:sz w:val="24"/>
          <w:szCs w:val="24"/>
        </w:rPr>
        <w:t>3</w:t>
      </w:r>
      <w:r w:rsidRPr="0BA901D7">
        <w:rPr>
          <w:rFonts w:ascii="Open Sans" w:hAnsi="Open Sans" w:cs="Open Sans"/>
          <w:sz w:val="24"/>
          <w:szCs w:val="24"/>
        </w:rPr>
        <w:t>. Retos</w:t>
      </w:r>
      <w:r w:rsidR="00456B9F">
        <w:rPr>
          <w:rFonts w:ascii="Open Sans" w:hAnsi="Open Sans" w:cs="Open Sans"/>
          <w:sz w:val="24"/>
          <w:szCs w:val="24"/>
        </w:rPr>
        <w:t xml:space="preserve"> </w:t>
      </w:r>
      <w:r w:rsidRPr="0BA901D7">
        <w:rPr>
          <w:rFonts w:ascii="Open Sans" w:hAnsi="Open Sans" w:cs="Open Sans"/>
          <w:sz w:val="24"/>
          <w:szCs w:val="24"/>
        </w:rPr>
        <w:t>y Oportunidades</w:t>
      </w:r>
      <w:bookmarkEnd w:id="5"/>
    </w:p>
    <w:p w14:paraId="30F0C797" w14:textId="77777777" w:rsidR="004442A1" w:rsidRPr="00483199" w:rsidRDefault="004442A1" w:rsidP="004442A1">
      <w:pPr>
        <w:spacing w:before="60" w:after="40"/>
        <w:rPr>
          <w:rFonts w:ascii="Open Sans" w:hAnsi="Open Sans" w:cs="Open Sans"/>
          <w:b/>
          <w:bCs/>
          <w:color w:val="003366"/>
          <w:sz w:val="16"/>
          <w:szCs w:val="16"/>
        </w:rPr>
      </w:pPr>
    </w:p>
    <w:p w14:paraId="1D0DEFBF" w14:textId="77777777" w:rsidR="004442A1" w:rsidRPr="004442A1" w:rsidRDefault="004442A1" w:rsidP="004442A1">
      <w:pPr>
        <w:spacing w:before="60" w:after="40"/>
        <w:rPr>
          <w:rFonts w:ascii="Open Sans" w:hAnsi="Open Sans" w:cs="Open Sans"/>
          <w:b/>
          <w:bCs/>
          <w:color w:val="003366"/>
          <w:sz w:val="24"/>
          <w:szCs w:val="24"/>
        </w:rPr>
      </w:pPr>
      <w:r w:rsidRPr="004442A1">
        <w:rPr>
          <w:rFonts w:ascii="Open Sans" w:hAnsi="Open Sans" w:cs="Open Sans"/>
          <w:b/>
          <w:bCs/>
          <w:color w:val="003366"/>
          <w:sz w:val="24"/>
          <w:szCs w:val="24"/>
        </w:rPr>
        <w:t>Retos identificados</w:t>
      </w:r>
    </w:p>
    <w:p w14:paraId="3AB342A3" w14:textId="77777777" w:rsidR="004442A1" w:rsidRPr="004442A1" w:rsidRDefault="004442A1" w:rsidP="004442A1">
      <w:pPr>
        <w:pStyle w:val="Prrafodelista"/>
        <w:numPr>
          <w:ilvl w:val="0"/>
          <w:numId w:val="3"/>
        </w:numPr>
        <w:spacing w:before="60" w:after="60"/>
        <w:jc w:val="both"/>
        <w:rPr>
          <w:rFonts w:ascii="Open Sans" w:hAnsi="Open Sans" w:cs="Open Sans"/>
          <w:color w:val="333333"/>
          <w:sz w:val="24"/>
          <w:szCs w:val="24"/>
        </w:rPr>
      </w:pPr>
      <w:r w:rsidRPr="004442A1">
        <w:rPr>
          <w:rFonts w:ascii="Open Sans" w:hAnsi="Open Sans" w:cs="Open Sans"/>
          <w:color w:val="333333"/>
          <w:sz w:val="24"/>
          <w:szCs w:val="24"/>
        </w:rPr>
        <w:t>Diseñar estrategias financieras a través de becas, créditos directos a largo plazo o convenios que garanticen la permanencia ante los contextos económicos volátiles que enfrentan los estudiantes.</w:t>
      </w:r>
    </w:p>
    <w:p w14:paraId="0A102F4D" w14:textId="77777777" w:rsidR="004442A1" w:rsidRPr="004442A1" w:rsidRDefault="004442A1" w:rsidP="004442A1">
      <w:pPr>
        <w:pStyle w:val="Prrafodelista"/>
        <w:spacing w:before="60" w:after="60"/>
        <w:ind w:left="720"/>
        <w:jc w:val="both"/>
        <w:rPr>
          <w:rFonts w:ascii="Open Sans" w:hAnsi="Open Sans" w:cs="Open Sans"/>
          <w:color w:val="333333"/>
          <w:sz w:val="24"/>
          <w:szCs w:val="24"/>
        </w:rPr>
      </w:pPr>
    </w:p>
    <w:p w14:paraId="29F34669" w14:textId="77777777" w:rsidR="004442A1" w:rsidRPr="004442A1" w:rsidRDefault="004442A1" w:rsidP="004442A1">
      <w:pPr>
        <w:pStyle w:val="Prrafodelista"/>
        <w:numPr>
          <w:ilvl w:val="0"/>
          <w:numId w:val="3"/>
        </w:numPr>
        <w:spacing w:before="60" w:after="60"/>
        <w:jc w:val="both"/>
        <w:rPr>
          <w:rFonts w:ascii="Open Sans" w:hAnsi="Open Sans" w:cs="Open Sans"/>
          <w:color w:val="333333"/>
          <w:sz w:val="24"/>
          <w:szCs w:val="24"/>
        </w:rPr>
      </w:pPr>
      <w:r w:rsidRPr="004442A1">
        <w:rPr>
          <w:rFonts w:ascii="Open Sans" w:hAnsi="Open Sans" w:cs="Open Sans"/>
          <w:color w:val="333333"/>
          <w:sz w:val="24"/>
          <w:szCs w:val="24"/>
        </w:rPr>
        <w:t>Apuntar a que el CDT y UDESTEC logre su punto de equilibrio financiero y operativo asegurando así que la inversión inicial se transforme en servicios especializados que generen ingresos propios a partir de convenios específicos y estrategias consolidadas.</w:t>
      </w:r>
    </w:p>
    <w:p w14:paraId="74E0EEC7" w14:textId="77777777" w:rsidR="004442A1" w:rsidRPr="004442A1" w:rsidRDefault="004442A1" w:rsidP="004442A1">
      <w:pPr>
        <w:pStyle w:val="Prrafodelista"/>
        <w:spacing w:before="60" w:after="60"/>
        <w:ind w:left="720"/>
        <w:jc w:val="both"/>
        <w:rPr>
          <w:rFonts w:ascii="Open Sans" w:hAnsi="Open Sans" w:cs="Open Sans"/>
          <w:color w:val="333333"/>
          <w:sz w:val="24"/>
          <w:szCs w:val="24"/>
        </w:rPr>
      </w:pPr>
    </w:p>
    <w:p w14:paraId="743530D1" w14:textId="77777777" w:rsidR="004442A1" w:rsidRPr="004442A1" w:rsidRDefault="004442A1" w:rsidP="004442A1">
      <w:pPr>
        <w:pStyle w:val="Prrafodelista"/>
        <w:numPr>
          <w:ilvl w:val="0"/>
          <w:numId w:val="3"/>
        </w:numPr>
        <w:spacing w:before="60" w:after="60"/>
        <w:jc w:val="both"/>
        <w:rPr>
          <w:rFonts w:ascii="Open Sans" w:hAnsi="Open Sans" w:cs="Open Sans"/>
          <w:color w:val="333333"/>
          <w:sz w:val="24"/>
          <w:szCs w:val="24"/>
        </w:rPr>
      </w:pPr>
      <w:r w:rsidRPr="004442A1">
        <w:rPr>
          <w:rFonts w:ascii="Open Sans" w:hAnsi="Open Sans" w:cs="Open Sans"/>
          <w:color w:val="333333"/>
          <w:sz w:val="24"/>
          <w:szCs w:val="24"/>
        </w:rPr>
        <w:t xml:space="preserve">Diversificar las fuentes de ingreso con el fin de reducir la dependencia de las matrículas mediante el fortalecimiento de la educación continua, consultorías, </w:t>
      </w:r>
      <w:r w:rsidRPr="004442A1">
        <w:rPr>
          <w:rFonts w:ascii="Open Sans" w:hAnsi="Open Sans" w:cs="Open Sans"/>
          <w:color w:val="333333"/>
          <w:sz w:val="24"/>
          <w:szCs w:val="24"/>
        </w:rPr>
        <w:lastRenderedPageBreak/>
        <w:t>proyectos de investigación financiados y servicios tecnológicos; esto permitirá proteger la sostenibilidad financiera en los cambios actuales del mercado.</w:t>
      </w:r>
    </w:p>
    <w:p w14:paraId="379EAAC0" w14:textId="77777777" w:rsidR="004442A1" w:rsidRPr="004442A1" w:rsidRDefault="004442A1" w:rsidP="004442A1">
      <w:pPr>
        <w:pStyle w:val="Prrafodelista"/>
        <w:spacing w:before="60" w:after="60"/>
        <w:ind w:left="720"/>
        <w:jc w:val="both"/>
        <w:rPr>
          <w:rFonts w:ascii="Open Sans" w:hAnsi="Open Sans" w:cs="Open Sans"/>
          <w:color w:val="333333"/>
          <w:sz w:val="24"/>
          <w:szCs w:val="24"/>
        </w:rPr>
      </w:pPr>
    </w:p>
    <w:p w14:paraId="5D096615" w14:textId="77777777" w:rsidR="004442A1" w:rsidRDefault="004442A1" w:rsidP="004442A1">
      <w:pPr>
        <w:pStyle w:val="Prrafodelista"/>
        <w:numPr>
          <w:ilvl w:val="0"/>
          <w:numId w:val="3"/>
        </w:numPr>
        <w:spacing w:before="60" w:after="60"/>
        <w:jc w:val="both"/>
        <w:rPr>
          <w:rFonts w:ascii="Open Sans" w:hAnsi="Open Sans" w:cs="Open Sans"/>
          <w:color w:val="333333"/>
          <w:sz w:val="24"/>
          <w:szCs w:val="24"/>
        </w:rPr>
      </w:pPr>
      <w:r w:rsidRPr="004442A1">
        <w:rPr>
          <w:rFonts w:ascii="Open Sans" w:hAnsi="Open Sans" w:cs="Open Sans"/>
          <w:color w:val="333333"/>
          <w:sz w:val="24"/>
          <w:szCs w:val="24"/>
        </w:rPr>
        <w:t>Mantener el control de los costos a través de ejercicios de concientización con la academia para evitar burocratizar nuevos procesos misionales.</w:t>
      </w:r>
    </w:p>
    <w:p w14:paraId="6913415B" w14:textId="77777777" w:rsidR="00483199" w:rsidRPr="00483199" w:rsidRDefault="00483199" w:rsidP="00483199">
      <w:pPr>
        <w:pStyle w:val="Prrafodelista"/>
        <w:rPr>
          <w:rFonts w:ascii="Open Sans" w:hAnsi="Open Sans" w:cs="Open Sans"/>
          <w:color w:val="333333"/>
          <w:sz w:val="12"/>
          <w:szCs w:val="12"/>
        </w:rPr>
      </w:pPr>
    </w:p>
    <w:p w14:paraId="6A6878DF" w14:textId="77777777" w:rsidR="004442A1" w:rsidRPr="004442A1" w:rsidRDefault="004442A1" w:rsidP="004442A1">
      <w:pPr>
        <w:spacing w:before="60" w:after="40"/>
        <w:rPr>
          <w:rFonts w:ascii="Open Sans" w:hAnsi="Open Sans" w:cs="Open Sans"/>
          <w:b/>
          <w:bCs/>
          <w:color w:val="003366"/>
          <w:sz w:val="24"/>
          <w:szCs w:val="24"/>
        </w:rPr>
      </w:pPr>
      <w:r w:rsidRPr="004442A1">
        <w:rPr>
          <w:rFonts w:ascii="Open Sans" w:hAnsi="Open Sans" w:cs="Open Sans"/>
          <w:b/>
          <w:bCs/>
          <w:color w:val="003366"/>
          <w:sz w:val="24"/>
          <w:szCs w:val="24"/>
        </w:rPr>
        <w:t xml:space="preserve">Oportunidades estratégicas </w:t>
      </w:r>
    </w:p>
    <w:p w14:paraId="44F1E7B7" w14:textId="77777777" w:rsidR="004442A1" w:rsidRPr="004442A1" w:rsidRDefault="004442A1" w:rsidP="00483199">
      <w:pPr>
        <w:pStyle w:val="Prrafodelista"/>
        <w:numPr>
          <w:ilvl w:val="0"/>
          <w:numId w:val="3"/>
        </w:numPr>
        <w:jc w:val="both"/>
        <w:rPr>
          <w:rFonts w:ascii="Open Sans" w:hAnsi="Open Sans" w:cs="Open Sans"/>
          <w:color w:val="333333"/>
          <w:sz w:val="24"/>
          <w:szCs w:val="24"/>
        </w:rPr>
      </w:pPr>
      <w:r w:rsidRPr="004442A1">
        <w:rPr>
          <w:rFonts w:ascii="Open Sans" w:hAnsi="Open Sans" w:cs="Open Sans"/>
          <w:color w:val="333333"/>
          <w:sz w:val="24"/>
          <w:szCs w:val="24"/>
        </w:rPr>
        <w:t>Consolidar a la Universidad como un actor relevante en la transformación educativa digital a través de la evolución de la tecnología como una inversión estratégica en la gestión financiera.</w:t>
      </w:r>
    </w:p>
    <w:p w14:paraId="0F53361E" w14:textId="77777777" w:rsidR="004442A1" w:rsidRPr="004442A1" w:rsidRDefault="004442A1" w:rsidP="00483199">
      <w:pPr>
        <w:pStyle w:val="Prrafodelista"/>
        <w:ind w:left="720"/>
        <w:jc w:val="both"/>
        <w:rPr>
          <w:rFonts w:ascii="Open Sans" w:hAnsi="Open Sans" w:cs="Open Sans"/>
          <w:color w:val="333333"/>
          <w:sz w:val="24"/>
          <w:szCs w:val="24"/>
        </w:rPr>
      </w:pPr>
    </w:p>
    <w:p w14:paraId="064FE030" w14:textId="77777777" w:rsidR="004442A1" w:rsidRPr="004442A1" w:rsidRDefault="004442A1" w:rsidP="00483199">
      <w:pPr>
        <w:pStyle w:val="Prrafodelista"/>
        <w:numPr>
          <w:ilvl w:val="0"/>
          <w:numId w:val="3"/>
        </w:numPr>
        <w:jc w:val="both"/>
        <w:rPr>
          <w:rFonts w:ascii="Open Sans" w:hAnsi="Open Sans" w:cs="Open Sans"/>
          <w:color w:val="333333"/>
          <w:sz w:val="24"/>
          <w:szCs w:val="24"/>
        </w:rPr>
      </w:pPr>
      <w:r w:rsidRPr="004442A1">
        <w:rPr>
          <w:rFonts w:ascii="Open Sans" w:hAnsi="Open Sans" w:cs="Open Sans"/>
          <w:color w:val="333333"/>
          <w:sz w:val="24"/>
          <w:szCs w:val="24"/>
        </w:rPr>
        <w:t>Potenciar la capacidad de reinversión en la modernización tecnológica a través de la renovación de equipos (tanto de cómputo como simuladores con IA) y expansión de infraestructura atendiendo los planes de desarrollo físico para el 2026.</w:t>
      </w:r>
    </w:p>
    <w:p w14:paraId="41584942" w14:textId="77777777" w:rsidR="004442A1" w:rsidRPr="004442A1" w:rsidRDefault="004442A1" w:rsidP="00483199">
      <w:pPr>
        <w:pStyle w:val="Prrafodelista"/>
        <w:ind w:left="720"/>
        <w:jc w:val="both"/>
        <w:rPr>
          <w:rFonts w:ascii="Open Sans" w:hAnsi="Open Sans" w:cs="Open Sans"/>
          <w:color w:val="333333"/>
          <w:sz w:val="24"/>
          <w:szCs w:val="24"/>
        </w:rPr>
      </w:pPr>
    </w:p>
    <w:p w14:paraId="72FF4F2D" w14:textId="77777777" w:rsidR="004442A1" w:rsidRPr="004442A1" w:rsidRDefault="004442A1" w:rsidP="00483199">
      <w:pPr>
        <w:pStyle w:val="Prrafodelista"/>
        <w:numPr>
          <w:ilvl w:val="0"/>
          <w:numId w:val="3"/>
        </w:numPr>
        <w:jc w:val="both"/>
        <w:rPr>
          <w:rFonts w:ascii="Open Sans" w:hAnsi="Open Sans" w:cs="Open Sans"/>
          <w:color w:val="333333"/>
          <w:sz w:val="24"/>
          <w:szCs w:val="24"/>
        </w:rPr>
      </w:pPr>
      <w:r w:rsidRPr="004442A1">
        <w:rPr>
          <w:rFonts w:ascii="Open Sans" w:hAnsi="Open Sans" w:cs="Open Sans"/>
          <w:color w:val="333333"/>
          <w:sz w:val="24"/>
          <w:szCs w:val="24"/>
        </w:rPr>
        <w:t>Captar recursos de cooperación internacional y del Estado mediante proyectos de investigación aplicada que respondan a desafíos regionales con el CDT.</w:t>
      </w:r>
    </w:p>
    <w:p w14:paraId="478D6842" w14:textId="77777777" w:rsidR="004442A1" w:rsidRPr="004442A1" w:rsidRDefault="004442A1" w:rsidP="00483199">
      <w:pPr>
        <w:pStyle w:val="Prrafodelista"/>
        <w:ind w:left="720"/>
        <w:jc w:val="both"/>
        <w:rPr>
          <w:rFonts w:ascii="Open Sans" w:hAnsi="Open Sans" w:cs="Open Sans"/>
          <w:color w:val="333333"/>
          <w:sz w:val="24"/>
          <w:szCs w:val="24"/>
        </w:rPr>
      </w:pPr>
    </w:p>
    <w:p w14:paraId="16E59002" w14:textId="77777777" w:rsidR="004442A1" w:rsidRPr="004442A1" w:rsidRDefault="004442A1" w:rsidP="00483199">
      <w:pPr>
        <w:pStyle w:val="Prrafodelista"/>
        <w:numPr>
          <w:ilvl w:val="0"/>
          <w:numId w:val="3"/>
        </w:numPr>
        <w:jc w:val="both"/>
        <w:rPr>
          <w:rFonts w:ascii="Open Sans" w:hAnsi="Open Sans" w:cs="Open Sans"/>
          <w:color w:val="333333"/>
          <w:sz w:val="24"/>
          <w:szCs w:val="24"/>
        </w:rPr>
      </w:pPr>
      <w:r w:rsidRPr="004442A1">
        <w:rPr>
          <w:rFonts w:ascii="Open Sans" w:hAnsi="Open Sans" w:cs="Open Sans"/>
          <w:color w:val="333333"/>
          <w:sz w:val="24"/>
          <w:szCs w:val="24"/>
        </w:rPr>
        <w:t>Liderar en la región la formación dual y técnica con UDESTEC a partir de alianzas con el sector productivo y mercadeo en colegios de la región.</w:t>
      </w:r>
    </w:p>
    <w:p w14:paraId="7FD26301" w14:textId="68BC3FA4" w:rsidR="004442A1" w:rsidRPr="00BE12E2" w:rsidRDefault="004442A1" w:rsidP="004442A1">
      <w:pPr>
        <w:pStyle w:val="Prrafodelista"/>
        <w:rPr>
          <w:rFonts w:ascii="Spranq eco sans" w:hAnsi="Spranq eco sans"/>
        </w:rPr>
      </w:pPr>
    </w:p>
    <w:p w14:paraId="7CA01C3A" w14:textId="74775263" w:rsidR="00AD6121" w:rsidRPr="00290685" w:rsidRDefault="00AD6121" w:rsidP="00AD6121">
      <w:pPr>
        <w:rPr>
          <w:rFonts w:ascii="Open Sans" w:hAnsi="Open Sans" w:cs="Open Sans"/>
          <w:b/>
          <w:bCs/>
          <w:sz w:val="24"/>
          <w:szCs w:val="24"/>
        </w:rPr>
      </w:pPr>
      <w:r w:rsidRPr="00290685">
        <w:rPr>
          <w:rFonts w:ascii="Open Sans" w:hAnsi="Open Sans" w:cs="Open Sans"/>
          <w:b/>
          <w:bCs/>
          <w:sz w:val="24"/>
          <w:szCs w:val="24"/>
        </w:rPr>
        <w:t xml:space="preserve">Figura </w:t>
      </w:r>
      <w:r w:rsidR="00364FF8">
        <w:rPr>
          <w:rFonts w:ascii="Open Sans" w:hAnsi="Open Sans" w:cs="Open Sans"/>
          <w:b/>
          <w:bCs/>
          <w:sz w:val="24"/>
          <w:szCs w:val="24"/>
        </w:rPr>
        <w:t>1</w:t>
      </w:r>
      <w:r w:rsidRPr="00290685">
        <w:rPr>
          <w:rFonts w:ascii="Open Sans" w:hAnsi="Open Sans" w:cs="Open Sans"/>
          <w:b/>
          <w:bCs/>
          <w:sz w:val="24"/>
          <w:szCs w:val="24"/>
        </w:rPr>
        <w:t>.</w:t>
      </w:r>
    </w:p>
    <w:p w14:paraId="2567D8A1" w14:textId="2122C509" w:rsidR="00AD6121" w:rsidRDefault="00AD6121" w:rsidP="00AD6121">
      <w:pPr>
        <w:rPr>
          <w:rFonts w:ascii="Open Sans" w:hAnsi="Open Sans" w:cs="Open Sans"/>
          <w:i/>
          <w:iCs/>
          <w:sz w:val="24"/>
          <w:szCs w:val="24"/>
        </w:rPr>
      </w:pPr>
      <w:r w:rsidRPr="00290685">
        <w:rPr>
          <w:rFonts w:ascii="Open Sans" w:hAnsi="Open Sans" w:cs="Open Sans"/>
          <w:i/>
          <w:iCs/>
          <w:sz w:val="24"/>
          <w:szCs w:val="24"/>
        </w:rPr>
        <w:t>Infografía de cifras de la Administración y Financiera UDES 2025</w:t>
      </w:r>
    </w:p>
    <w:p w14:paraId="5E524413" w14:textId="150A79DA" w:rsidR="004B7D95" w:rsidRDefault="004B7D95" w:rsidP="00B71EC2">
      <w:pPr>
        <w:jc w:val="center"/>
        <w:rPr>
          <w:rFonts w:ascii="Open Sans" w:hAnsi="Open Sans" w:cs="Open Sans"/>
          <w:i/>
          <w:iCs/>
          <w:sz w:val="24"/>
          <w:szCs w:val="24"/>
        </w:rPr>
      </w:pPr>
      <w:r w:rsidRPr="004B7D95">
        <w:rPr>
          <w:rFonts w:ascii="Open Sans" w:hAnsi="Open Sans" w:cs="Open Sans"/>
          <w:i/>
          <w:iCs/>
          <w:noProof/>
          <w:sz w:val="24"/>
          <w:szCs w:val="24"/>
        </w:rPr>
        <w:drawing>
          <wp:inline distT="0" distB="0" distL="0" distR="0" wp14:anchorId="4DF157B7" wp14:editId="36F20441">
            <wp:extent cx="5465135" cy="3050243"/>
            <wp:effectExtent l="0" t="0" r="2540" b="0"/>
            <wp:docPr id="18493018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3533" cy="3066093"/>
                    </a:xfrm>
                    <a:prstGeom prst="rect">
                      <a:avLst/>
                    </a:prstGeom>
                    <a:noFill/>
                    <a:ln>
                      <a:noFill/>
                    </a:ln>
                  </pic:spPr>
                </pic:pic>
              </a:graphicData>
            </a:graphic>
          </wp:inline>
        </w:drawing>
      </w:r>
    </w:p>
    <w:p w14:paraId="0554B134" w14:textId="606EF433" w:rsidR="00CD3551" w:rsidRPr="00290685" w:rsidRDefault="00454E35" w:rsidP="0BA901D7">
      <w:pPr>
        <w:pStyle w:val="Ttulo1"/>
        <w:pBdr>
          <w:bottom w:val="single" w:sz="8" w:space="4" w:color="1F5C99"/>
        </w:pBdr>
        <w:rPr>
          <w:rFonts w:ascii="Open Sans" w:hAnsi="Open Sans" w:cs="Open Sans"/>
          <w:sz w:val="24"/>
          <w:szCs w:val="24"/>
        </w:rPr>
      </w:pPr>
      <w:bookmarkStart w:id="6" w:name="_Toc225515009"/>
      <w:r>
        <w:rPr>
          <w:rFonts w:ascii="Open Sans" w:hAnsi="Open Sans" w:cs="Open Sans"/>
          <w:sz w:val="24"/>
          <w:szCs w:val="24"/>
        </w:rPr>
        <w:lastRenderedPageBreak/>
        <w:t>I</w:t>
      </w:r>
      <w:r w:rsidR="71D1A317" w:rsidRPr="0BA901D7">
        <w:rPr>
          <w:rFonts w:ascii="Open Sans" w:hAnsi="Open Sans" w:cs="Open Sans"/>
          <w:sz w:val="24"/>
          <w:szCs w:val="24"/>
        </w:rPr>
        <w:t>I</w:t>
      </w:r>
      <w:r w:rsidR="003072E3" w:rsidRPr="0BA901D7">
        <w:rPr>
          <w:rFonts w:ascii="Open Sans" w:hAnsi="Open Sans" w:cs="Open Sans"/>
          <w:sz w:val="24"/>
          <w:szCs w:val="24"/>
        </w:rPr>
        <w:t>. SÍNTESIS Y PROYECCIONES INSTITUCIONALES 2026</w:t>
      </w:r>
      <w:bookmarkEnd w:id="6"/>
    </w:p>
    <w:p w14:paraId="49E426A3" w14:textId="77777777" w:rsidR="007E2AEC" w:rsidRP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El balance del año 2025 posiciona a la Vicerrectoría Administrativa y Financiera como un actor estratégico consolidado dentro del modelo institucional de la UDES. Los resultados alcanzados no solo evidencian solidez operativa y financiera, sino que configuran una plataforma robusta desde la cual proyectar, con claridad y ambición, las apuestas de la vigencia 2026.</w:t>
      </w:r>
    </w:p>
    <w:p w14:paraId="50AB08D7" w14:textId="77777777" w:rsidR="007E2AEC" w:rsidRPr="007E2AEC" w:rsidRDefault="007E2AEC" w:rsidP="007E2AEC">
      <w:pPr>
        <w:spacing w:before="60" w:after="100"/>
        <w:jc w:val="both"/>
        <w:rPr>
          <w:rFonts w:ascii="Open Sans" w:hAnsi="Open Sans" w:cs="Open Sans"/>
          <w:color w:val="444444"/>
          <w:sz w:val="24"/>
          <w:szCs w:val="24"/>
        </w:rPr>
      </w:pPr>
    </w:p>
    <w:p w14:paraId="4C7F00D6" w14:textId="77777777" w:rsidR="007E2AEC" w:rsidRPr="007E2AEC" w:rsidRDefault="007E2AEC" w:rsidP="00454E35">
      <w:pPr>
        <w:pStyle w:val="Ttulo2"/>
        <w:numPr>
          <w:ilvl w:val="0"/>
          <w:numId w:val="12"/>
        </w:numPr>
        <w:tabs>
          <w:tab w:val="left" w:pos="284"/>
        </w:tabs>
        <w:ind w:left="0" w:firstLine="0"/>
        <w:rPr>
          <w:rFonts w:ascii="Open Sans" w:hAnsi="Open Sans" w:cs="Open Sans"/>
          <w:sz w:val="24"/>
          <w:szCs w:val="24"/>
        </w:rPr>
      </w:pPr>
      <w:bookmarkStart w:id="7" w:name="_Toc225515010"/>
      <w:r w:rsidRPr="007E2AEC">
        <w:rPr>
          <w:rFonts w:ascii="Open Sans" w:hAnsi="Open Sans" w:cs="Open Sans"/>
          <w:sz w:val="24"/>
          <w:szCs w:val="24"/>
        </w:rPr>
        <w:t>Balance estratégico 2025</w:t>
      </w:r>
      <w:bookmarkEnd w:id="7"/>
    </w:p>
    <w:p w14:paraId="3F4FFEB0" w14:textId="70F32239" w:rsid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La VAF cerró el ejercicio 2025 con indicadores que reflejan madurez institucional en todas sus dimensiones. Financieramente, la Universidad</w:t>
      </w:r>
      <w:r w:rsidR="00EE6D43">
        <w:rPr>
          <w:rFonts w:ascii="Open Sans" w:hAnsi="Open Sans" w:cs="Open Sans"/>
          <w:color w:val="444444"/>
          <w:sz w:val="24"/>
          <w:szCs w:val="24"/>
        </w:rPr>
        <w:t xml:space="preserve"> de Santander</w:t>
      </w:r>
      <w:r w:rsidRPr="007E2AEC">
        <w:rPr>
          <w:rFonts w:ascii="Open Sans" w:hAnsi="Open Sans" w:cs="Open Sans"/>
          <w:color w:val="444444"/>
          <w:sz w:val="24"/>
          <w:szCs w:val="24"/>
        </w:rPr>
        <w:t xml:space="preserve"> alcanzó el índice de endeudamiento más bajo de su historia (0,24), redujo su pasivo no corriente en un 88,4%, incrementó sus ingresos ordinarios un 7,03% y fortaleció su patrimonio hasta los $325.788 millones. Operativamente, el SGC-VAF amplió su alcance a la totalidad de los procesos misionales, los tres proyectos estratégicos</w:t>
      </w:r>
      <w:r w:rsidR="00EE6D43">
        <w:rPr>
          <w:rFonts w:ascii="Open Sans" w:hAnsi="Open Sans" w:cs="Open Sans"/>
          <w:color w:val="444444"/>
          <w:sz w:val="24"/>
          <w:szCs w:val="24"/>
        </w:rPr>
        <w:t xml:space="preserve">: </w:t>
      </w:r>
      <w:r w:rsidRPr="004442A1">
        <w:rPr>
          <w:rFonts w:ascii="Open Sans" w:hAnsi="Open Sans" w:cs="Open Sans"/>
          <w:color w:val="333333"/>
          <w:sz w:val="24"/>
        </w:rPr>
        <w:t>Centro de Desarrollo Tecnológico</w:t>
      </w:r>
      <w:r>
        <w:rPr>
          <w:rFonts w:ascii="Open Sans" w:hAnsi="Open Sans" w:cs="Open Sans"/>
          <w:color w:val="333333"/>
          <w:sz w:val="24"/>
        </w:rPr>
        <w:t xml:space="preserve"> para la Alimentación y las Energías</w:t>
      </w:r>
      <w:r w:rsidRPr="004442A1">
        <w:rPr>
          <w:rFonts w:ascii="Open Sans" w:hAnsi="Open Sans" w:cs="Open Sans"/>
          <w:color w:val="333333"/>
          <w:sz w:val="24"/>
        </w:rPr>
        <w:t xml:space="preserve"> (</w:t>
      </w:r>
      <w:proofErr w:type="spellStart"/>
      <w:r w:rsidR="00E84333" w:rsidRPr="00E84333">
        <w:rPr>
          <w:rFonts w:ascii="Open Sans" w:hAnsi="Open Sans" w:cs="Open Sans"/>
          <w:color w:val="333333"/>
          <w:sz w:val="24"/>
        </w:rPr>
        <w:t>CdeT</w:t>
      </w:r>
      <w:proofErr w:type="spellEnd"/>
      <w:r w:rsidRPr="004442A1">
        <w:rPr>
          <w:rFonts w:ascii="Open Sans" w:hAnsi="Open Sans" w:cs="Open Sans"/>
          <w:color w:val="333333"/>
          <w:sz w:val="24"/>
        </w:rPr>
        <w:t>)</w:t>
      </w:r>
      <w:r w:rsidRPr="007E2AEC">
        <w:rPr>
          <w:rFonts w:ascii="Open Sans" w:hAnsi="Open Sans" w:cs="Open Sans"/>
          <w:color w:val="444444"/>
          <w:sz w:val="24"/>
          <w:szCs w:val="24"/>
        </w:rPr>
        <w:t>, UDESTEC y UDES Virtual</w:t>
      </w:r>
      <w:r>
        <w:rPr>
          <w:rFonts w:ascii="Open Sans" w:hAnsi="Open Sans" w:cs="Open Sans"/>
          <w:color w:val="444444"/>
          <w:sz w:val="24"/>
          <w:szCs w:val="24"/>
        </w:rPr>
        <w:t xml:space="preserve">, </w:t>
      </w:r>
      <w:r w:rsidRPr="007E2AEC">
        <w:rPr>
          <w:rFonts w:ascii="Open Sans" w:hAnsi="Open Sans" w:cs="Open Sans"/>
          <w:color w:val="444444"/>
          <w:sz w:val="24"/>
          <w:szCs w:val="24"/>
        </w:rPr>
        <w:t>entraron en fase de desarrollo activo, y la percepción de la comunidad universitaria sobre la gestión de recursos alcanzó el 90,8</w:t>
      </w:r>
      <w:r w:rsidR="00EE6D43">
        <w:rPr>
          <w:rFonts w:ascii="Open Sans" w:hAnsi="Open Sans" w:cs="Open Sans"/>
          <w:color w:val="444444"/>
          <w:sz w:val="24"/>
          <w:szCs w:val="24"/>
        </w:rPr>
        <w:t xml:space="preserve"> </w:t>
      </w:r>
      <w:r w:rsidRPr="007E2AEC">
        <w:rPr>
          <w:rFonts w:ascii="Open Sans" w:hAnsi="Open Sans" w:cs="Open Sans"/>
          <w:color w:val="444444"/>
          <w:sz w:val="24"/>
          <w:szCs w:val="24"/>
        </w:rPr>
        <w:t>% de conformidad promedio entre los tres campus. Estos logros consolidan a la VAF como el engranaje que transforma la gestión de recursos en condiciones reales para la excelencia académica.</w:t>
      </w:r>
    </w:p>
    <w:p w14:paraId="0F8DE383" w14:textId="77777777" w:rsidR="007E2AEC" w:rsidRDefault="007E2AEC" w:rsidP="007E2AEC">
      <w:pPr>
        <w:spacing w:before="60" w:after="100"/>
        <w:jc w:val="both"/>
        <w:rPr>
          <w:rFonts w:ascii="Open Sans" w:hAnsi="Open Sans" w:cs="Open Sans"/>
          <w:color w:val="444444"/>
          <w:sz w:val="24"/>
          <w:szCs w:val="24"/>
        </w:rPr>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541"/>
      </w:tblGrid>
      <w:tr w:rsidR="007E2AEC" w14:paraId="0D5F9D22" w14:textId="77777777" w:rsidTr="00566AA1">
        <w:tc>
          <w:tcPr>
            <w:tcW w:w="9781" w:type="dxa"/>
            <w:gridSpan w:val="3"/>
            <w:tcBorders>
              <w:top w:val="nil"/>
              <w:left w:val="nil"/>
              <w:bottom w:val="nil"/>
              <w:right w:val="nil"/>
            </w:tcBorders>
            <w:shd w:val="clear" w:color="auto" w:fill="1A2E4A"/>
            <w:tcMar>
              <w:top w:w="160" w:type="dxa"/>
              <w:left w:w="200" w:type="dxa"/>
              <w:bottom w:w="100" w:type="dxa"/>
              <w:right w:w="200" w:type="dxa"/>
            </w:tcMar>
            <w:hideMark/>
          </w:tcPr>
          <w:p w14:paraId="156CE37B" w14:textId="77777777" w:rsidR="007E2AEC" w:rsidRPr="00A44152" w:rsidRDefault="007E2AEC" w:rsidP="00566AA1">
            <w:pPr>
              <w:jc w:val="center"/>
              <w:rPr>
                <w:sz w:val="28"/>
                <w:szCs w:val="28"/>
              </w:rPr>
            </w:pPr>
            <w:r w:rsidRPr="00A44152">
              <w:rPr>
                <w:b/>
                <w:bCs/>
                <w:color w:val="FFFFFF"/>
                <w:sz w:val="28"/>
                <w:szCs w:val="28"/>
              </w:rPr>
              <w:t>GESTIÓN ADMINISTRATIVA Y FINANCIERA</w:t>
            </w:r>
          </w:p>
        </w:tc>
      </w:tr>
      <w:tr w:rsidR="007E2AEC" w14:paraId="6A70F89D" w14:textId="77777777" w:rsidTr="00566AA1">
        <w:tc>
          <w:tcPr>
            <w:tcW w:w="3120" w:type="dxa"/>
            <w:tcBorders>
              <w:top w:val="nil"/>
              <w:left w:val="nil"/>
              <w:bottom w:val="nil"/>
              <w:right w:val="nil"/>
            </w:tcBorders>
            <w:shd w:val="clear" w:color="auto" w:fill="1A2E4A"/>
            <w:tcMar>
              <w:top w:w="160" w:type="dxa"/>
              <w:left w:w="200" w:type="dxa"/>
              <w:bottom w:w="160" w:type="dxa"/>
              <w:right w:w="200" w:type="dxa"/>
            </w:tcMar>
            <w:vAlign w:val="center"/>
            <w:hideMark/>
          </w:tcPr>
          <w:p w14:paraId="281BE4B7" w14:textId="77777777" w:rsidR="007E2AEC" w:rsidRDefault="007E2AEC" w:rsidP="00566AA1">
            <w:pPr>
              <w:spacing w:after="40"/>
              <w:jc w:val="center"/>
            </w:pPr>
            <w:r>
              <w:rPr>
                <w:b/>
                <w:bCs/>
                <w:color w:val="7DD3B0"/>
                <w:sz w:val="28"/>
                <w:szCs w:val="28"/>
              </w:rPr>
              <w:t>$427.447M</w:t>
            </w:r>
          </w:p>
          <w:p w14:paraId="5121FF45" w14:textId="77777777" w:rsidR="007E2AEC" w:rsidRDefault="007E2AEC" w:rsidP="00566AA1">
            <w:pPr>
              <w:spacing w:before="40" w:after="40"/>
              <w:jc w:val="center"/>
            </w:pPr>
            <w:r>
              <w:rPr>
                <w:color w:val="CBD5E1"/>
                <w:sz w:val="18"/>
                <w:szCs w:val="18"/>
              </w:rPr>
              <w:t>en activos totales</w:t>
            </w:r>
          </w:p>
          <w:p w14:paraId="204ADC26" w14:textId="77777777" w:rsidR="007E2AEC" w:rsidRDefault="007E2AEC" w:rsidP="00566AA1">
            <w:pPr>
              <w:spacing w:before="40" w:after="40"/>
              <w:jc w:val="center"/>
            </w:pPr>
            <w:r>
              <w:rPr>
                <w:color w:val="94A3B8"/>
                <w:sz w:val="16"/>
                <w:szCs w:val="16"/>
              </w:rPr>
              <w:t>Índice endeudamiento: 0,24</w:t>
            </w:r>
          </w:p>
          <w:p w14:paraId="72EC6EB9" w14:textId="77777777" w:rsidR="007E2AEC" w:rsidRDefault="007E2AEC" w:rsidP="00566AA1">
            <w:pPr>
              <w:spacing w:before="40" w:after="40"/>
              <w:jc w:val="center"/>
            </w:pPr>
            <w:r>
              <w:rPr>
                <w:color w:val="94A3B8"/>
                <w:sz w:val="16"/>
                <w:szCs w:val="16"/>
              </w:rPr>
              <w:t>Mínimo histórico (-37% desde 2019)</w:t>
            </w:r>
          </w:p>
        </w:tc>
        <w:tc>
          <w:tcPr>
            <w:tcW w:w="3120" w:type="dxa"/>
            <w:tcBorders>
              <w:top w:val="nil"/>
              <w:left w:val="single" w:sz="4" w:space="0" w:color="FFFFFF"/>
              <w:bottom w:val="nil"/>
              <w:right w:val="nil"/>
            </w:tcBorders>
            <w:shd w:val="clear" w:color="auto" w:fill="1A2E4A"/>
            <w:tcMar>
              <w:top w:w="160" w:type="dxa"/>
              <w:left w:w="200" w:type="dxa"/>
              <w:bottom w:w="160" w:type="dxa"/>
              <w:right w:w="200" w:type="dxa"/>
            </w:tcMar>
            <w:vAlign w:val="center"/>
            <w:hideMark/>
          </w:tcPr>
          <w:p w14:paraId="7360B600" w14:textId="77777777" w:rsidR="007E2AEC" w:rsidRDefault="007E2AEC" w:rsidP="00566AA1">
            <w:pPr>
              <w:spacing w:after="40"/>
              <w:jc w:val="center"/>
            </w:pPr>
            <w:r>
              <w:rPr>
                <w:b/>
                <w:bCs/>
                <w:color w:val="7DD3B0"/>
                <w:sz w:val="28"/>
                <w:szCs w:val="28"/>
              </w:rPr>
              <w:t>$204.354M</w:t>
            </w:r>
          </w:p>
          <w:p w14:paraId="60331582" w14:textId="77777777" w:rsidR="007E2AEC" w:rsidRDefault="007E2AEC" w:rsidP="00566AA1">
            <w:pPr>
              <w:spacing w:before="40" w:after="40"/>
              <w:jc w:val="center"/>
            </w:pPr>
            <w:r>
              <w:rPr>
                <w:color w:val="CBD5E1"/>
                <w:sz w:val="18"/>
                <w:szCs w:val="18"/>
              </w:rPr>
              <w:t>ingresos ordinarios (+7,03%)</w:t>
            </w:r>
          </w:p>
          <w:p w14:paraId="22CD11A4" w14:textId="77777777" w:rsidR="007E2AEC" w:rsidRDefault="007E2AEC" w:rsidP="00566AA1">
            <w:pPr>
              <w:spacing w:before="40" w:after="40"/>
              <w:jc w:val="center"/>
            </w:pPr>
            <w:r>
              <w:rPr>
                <w:color w:val="94A3B8"/>
                <w:sz w:val="16"/>
                <w:szCs w:val="16"/>
              </w:rPr>
              <w:t>Margen bruto: $64.254M (+8,6%)</w:t>
            </w:r>
          </w:p>
          <w:p w14:paraId="302A8C42" w14:textId="77777777" w:rsidR="007E2AEC" w:rsidRDefault="007E2AEC" w:rsidP="00566AA1">
            <w:pPr>
              <w:spacing w:before="40" w:after="40"/>
              <w:jc w:val="center"/>
            </w:pPr>
            <w:r>
              <w:rPr>
                <w:color w:val="94A3B8"/>
                <w:sz w:val="16"/>
                <w:szCs w:val="16"/>
              </w:rPr>
              <w:t>Costos financieros ↓26%</w:t>
            </w:r>
          </w:p>
        </w:tc>
        <w:tc>
          <w:tcPr>
            <w:tcW w:w="3541" w:type="dxa"/>
            <w:tcBorders>
              <w:top w:val="nil"/>
              <w:left w:val="single" w:sz="4" w:space="0" w:color="FFFFFF"/>
              <w:bottom w:val="nil"/>
              <w:right w:val="nil"/>
            </w:tcBorders>
            <w:shd w:val="clear" w:color="auto" w:fill="1A2E4A"/>
            <w:tcMar>
              <w:top w:w="160" w:type="dxa"/>
              <w:left w:w="200" w:type="dxa"/>
              <w:bottom w:w="160" w:type="dxa"/>
              <w:right w:w="200" w:type="dxa"/>
            </w:tcMar>
            <w:vAlign w:val="center"/>
            <w:hideMark/>
          </w:tcPr>
          <w:p w14:paraId="6B5384FC" w14:textId="77777777" w:rsidR="007E2AEC" w:rsidRDefault="007E2AEC" w:rsidP="00566AA1">
            <w:pPr>
              <w:spacing w:after="40"/>
              <w:jc w:val="center"/>
            </w:pPr>
            <w:r>
              <w:rPr>
                <w:b/>
                <w:bCs/>
                <w:color w:val="7DD3B0"/>
                <w:sz w:val="28"/>
                <w:szCs w:val="28"/>
              </w:rPr>
              <w:t>90,80%</w:t>
            </w:r>
          </w:p>
          <w:p w14:paraId="7E219C8C" w14:textId="77777777" w:rsidR="007E2AEC" w:rsidRDefault="007E2AEC" w:rsidP="00566AA1">
            <w:pPr>
              <w:spacing w:before="40" w:after="40"/>
              <w:jc w:val="center"/>
            </w:pPr>
            <w:r>
              <w:rPr>
                <w:color w:val="CBD5E1"/>
                <w:sz w:val="18"/>
                <w:szCs w:val="18"/>
              </w:rPr>
              <w:t>conformidad en recursos</w:t>
            </w:r>
          </w:p>
          <w:p w14:paraId="6A7FA15D" w14:textId="77777777" w:rsidR="007E2AEC" w:rsidRDefault="007E2AEC" w:rsidP="00566AA1">
            <w:pPr>
              <w:spacing w:before="40" w:after="40"/>
              <w:jc w:val="center"/>
            </w:pPr>
            <w:r>
              <w:rPr>
                <w:color w:val="94A3B8"/>
                <w:sz w:val="16"/>
                <w:szCs w:val="16"/>
              </w:rPr>
              <w:t>Felicitaciones PQRSF +61%</w:t>
            </w:r>
          </w:p>
          <w:p w14:paraId="3D5E6C63" w14:textId="77777777" w:rsidR="007E2AEC" w:rsidRDefault="007E2AEC" w:rsidP="00566AA1">
            <w:pPr>
              <w:spacing w:before="40" w:after="40"/>
              <w:jc w:val="center"/>
            </w:pPr>
            <w:r>
              <w:rPr>
                <w:color w:val="94A3B8"/>
                <w:sz w:val="16"/>
                <w:szCs w:val="16"/>
              </w:rPr>
              <w:t>Patrimonio: $325.788M (+3,3%)</w:t>
            </w:r>
          </w:p>
        </w:tc>
      </w:tr>
    </w:tbl>
    <w:p w14:paraId="1808673A" w14:textId="77777777" w:rsidR="007E2AEC" w:rsidRPr="007E2AEC" w:rsidRDefault="007E2AEC" w:rsidP="007E2AEC">
      <w:pPr>
        <w:spacing w:before="60" w:after="100"/>
        <w:jc w:val="both"/>
        <w:rPr>
          <w:rFonts w:ascii="Open Sans" w:hAnsi="Open Sans" w:cs="Open Sans"/>
          <w:color w:val="444444"/>
          <w:sz w:val="24"/>
          <w:szCs w:val="24"/>
        </w:rPr>
      </w:pPr>
    </w:p>
    <w:p w14:paraId="11CFFFFC" w14:textId="011111FF" w:rsidR="007E2AEC" w:rsidRPr="007E2AEC" w:rsidRDefault="007E2AEC" w:rsidP="00454E35">
      <w:pPr>
        <w:pStyle w:val="Ttulo2"/>
        <w:numPr>
          <w:ilvl w:val="0"/>
          <w:numId w:val="12"/>
        </w:numPr>
        <w:tabs>
          <w:tab w:val="left" w:pos="284"/>
        </w:tabs>
        <w:ind w:left="0" w:firstLine="0"/>
        <w:rPr>
          <w:rFonts w:ascii="Open Sans" w:hAnsi="Open Sans" w:cs="Open Sans"/>
          <w:sz w:val="24"/>
          <w:szCs w:val="24"/>
        </w:rPr>
      </w:pPr>
      <w:bookmarkStart w:id="8" w:name="_Toc225515011"/>
      <w:r w:rsidRPr="007E2AEC">
        <w:rPr>
          <w:rFonts w:ascii="Open Sans" w:hAnsi="Open Sans" w:cs="Open Sans"/>
          <w:sz w:val="24"/>
          <w:szCs w:val="24"/>
        </w:rPr>
        <w:t>Proyecciones Estratégicas 2026</w:t>
      </w:r>
      <w:bookmarkEnd w:id="8"/>
    </w:p>
    <w:p w14:paraId="739C2137" w14:textId="77777777" w:rsidR="007E2AEC" w:rsidRPr="007E2AEC" w:rsidRDefault="007E2AEC" w:rsidP="00456B9F">
      <w:pPr>
        <w:spacing w:before="60" w:after="40"/>
        <w:rPr>
          <w:rFonts w:ascii="Open Sans" w:hAnsi="Open Sans" w:cs="Open Sans"/>
          <w:b/>
          <w:bCs/>
          <w:color w:val="003366"/>
          <w:sz w:val="24"/>
          <w:szCs w:val="24"/>
        </w:rPr>
      </w:pPr>
      <w:r w:rsidRPr="007E2AEC">
        <w:rPr>
          <w:rFonts w:ascii="Open Sans" w:hAnsi="Open Sans" w:cs="Open Sans"/>
          <w:b/>
          <w:bCs/>
          <w:color w:val="003366"/>
          <w:sz w:val="24"/>
          <w:szCs w:val="24"/>
        </w:rPr>
        <w:t>Sostenibilidad financiera y diversificación de ingresos</w:t>
      </w:r>
    </w:p>
    <w:p w14:paraId="47B31D70" w14:textId="63AA2287" w:rsidR="007E2AEC" w:rsidRP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 xml:space="preserve">La VAF orientará su gestión financiera hacia la consolidación de la independencia de recursos de terceros, continuando la trayectoria de </w:t>
      </w:r>
      <w:proofErr w:type="spellStart"/>
      <w:r w:rsidRPr="007E2AEC">
        <w:rPr>
          <w:rFonts w:ascii="Open Sans" w:hAnsi="Open Sans" w:cs="Open Sans"/>
          <w:color w:val="444444"/>
          <w:sz w:val="24"/>
          <w:szCs w:val="24"/>
        </w:rPr>
        <w:t>desapalancamiento</w:t>
      </w:r>
      <w:proofErr w:type="spellEnd"/>
      <w:r w:rsidRPr="007E2AEC">
        <w:rPr>
          <w:rFonts w:ascii="Open Sans" w:hAnsi="Open Sans" w:cs="Open Sans"/>
          <w:color w:val="444444"/>
          <w:sz w:val="24"/>
          <w:szCs w:val="24"/>
        </w:rPr>
        <w:t xml:space="preserve"> iniciada en 2019. La estrategia de diversificación de ingresos priorizará el fortalecimiento de la educación continua, los servicios especializados del</w:t>
      </w:r>
      <w:r w:rsidR="00EE6D43" w:rsidRPr="00EE6D43">
        <w:rPr>
          <w:rFonts w:ascii="Open Sans" w:hAnsi="Open Sans" w:cs="Open Sans"/>
          <w:color w:val="333333"/>
          <w:sz w:val="24"/>
        </w:rPr>
        <w:t xml:space="preserve"> </w:t>
      </w:r>
      <w:r w:rsidR="00EE6D43" w:rsidRPr="004442A1">
        <w:rPr>
          <w:rFonts w:ascii="Open Sans" w:hAnsi="Open Sans" w:cs="Open Sans"/>
          <w:color w:val="333333"/>
          <w:sz w:val="24"/>
        </w:rPr>
        <w:t>Centro de Desarrollo Tecnológico</w:t>
      </w:r>
      <w:r w:rsidR="00EE6D43">
        <w:rPr>
          <w:rFonts w:ascii="Open Sans" w:hAnsi="Open Sans" w:cs="Open Sans"/>
          <w:color w:val="333333"/>
          <w:sz w:val="24"/>
        </w:rPr>
        <w:t xml:space="preserve"> para la Alimentación y las Energías</w:t>
      </w:r>
      <w:r w:rsidR="00EE6D43" w:rsidRPr="004442A1">
        <w:rPr>
          <w:rFonts w:ascii="Open Sans" w:hAnsi="Open Sans" w:cs="Open Sans"/>
          <w:color w:val="333333"/>
          <w:sz w:val="24"/>
        </w:rPr>
        <w:t xml:space="preserve"> (</w:t>
      </w:r>
      <w:proofErr w:type="spellStart"/>
      <w:r w:rsidR="00EE6D43" w:rsidRPr="00E84333">
        <w:rPr>
          <w:rFonts w:ascii="Open Sans" w:hAnsi="Open Sans" w:cs="Open Sans"/>
          <w:color w:val="333333"/>
          <w:sz w:val="24"/>
        </w:rPr>
        <w:t>CdeT</w:t>
      </w:r>
      <w:proofErr w:type="spellEnd"/>
      <w:r w:rsidR="00EE6D43" w:rsidRPr="004442A1">
        <w:rPr>
          <w:rFonts w:ascii="Open Sans" w:hAnsi="Open Sans" w:cs="Open Sans"/>
          <w:color w:val="333333"/>
          <w:sz w:val="24"/>
        </w:rPr>
        <w:t>)</w:t>
      </w:r>
      <w:r w:rsidRPr="007E2AEC">
        <w:rPr>
          <w:rFonts w:ascii="Open Sans" w:hAnsi="Open Sans" w:cs="Open Sans"/>
          <w:color w:val="444444"/>
          <w:sz w:val="24"/>
          <w:szCs w:val="24"/>
        </w:rPr>
        <w:t xml:space="preserve">, las alianzas productivas de UDESTEC y los convenios con el sector público y privado, con el propósito de reducir estructuralmente </w:t>
      </w:r>
      <w:r w:rsidRPr="007E2AEC">
        <w:rPr>
          <w:rFonts w:ascii="Open Sans" w:hAnsi="Open Sans" w:cs="Open Sans"/>
          <w:color w:val="444444"/>
          <w:sz w:val="24"/>
          <w:szCs w:val="24"/>
        </w:rPr>
        <w:lastRenderedPageBreak/>
        <w:t>la dependencia de los ingresos por matrícula y garantizar la sostenibilidad financiera a largo plazo.</w:t>
      </w:r>
    </w:p>
    <w:p w14:paraId="3D7D1F3D" w14:textId="77777777" w:rsidR="007E2AEC" w:rsidRPr="007E2AEC" w:rsidRDefault="007E2AEC" w:rsidP="007E2AEC">
      <w:pPr>
        <w:spacing w:before="60" w:after="100"/>
        <w:jc w:val="both"/>
        <w:rPr>
          <w:rFonts w:ascii="Open Sans" w:hAnsi="Open Sans" w:cs="Open Sans"/>
          <w:color w:val="444444"/>
          <w:sz w:val="24"/>
          <w:szCs w:val="24"/>
        </w:rPr>
      </w:pPr>
    </w:p>
    <w:p w14:paraId="042440EE" w14:textId="77777777" w:rsidR="007E2AEC" w:rsidRPr="007E2AEC" w:rsidRDefault="007E2AEC" w:rsidP="00456B9F">
      <w:pPr>
        <w:spacing w:before="60" w:after="40"/>
        <w:rPr>
          <w:rFonts w:ascii="Open Sans" w:hAnsi="Open Sans" w:cs="Open Sans"/>
          <w:b/>
          <w:bCs/>
          <w:color w:val="003366"/>
          <w:sz w:val="24"/>
          <w:szCs w:val="24"/>
        </w:rPr>
      </w:pPr>
      <w:r w:rsidRPr="007E2AEC">
        <w:rPr>
          <w:rFonts w:ascii="Open Sans" w:hAnsi="Open Sans" w:cs="Open Sans"/>
          <w:b/>
          <w:bCs/>
          <w:color w:val="003366"/>
          <w:sz w:val="24"/>
          <w:szCs w:val="24"/>
        </w:rPr>
        <w:t>Consolidación y punto de equilibrio de proyectos estratégicos</w:t>
      </w:r>
    </w:p>
    <w:p w14:paraId="7DDB8ECC" w14:textId="68EFEAC8" w:rsidR="007E2AEC" w:rsidRPr="007E2AEC" w:rsidRDefault="00456B9F" w:rsidP="007E2AEC">
      <w:pPr>
        <w:spacing w:before="60" w:after="100"/>
        <w:jc w:val="both"/>
        <w:rPr>
          <w:rFonts w:ascii="Open Sans" w:hAnsi="Open Sans" w:cs="Open Sans"/>
          <w:color w:val="444444"/>
          <w:sz w:val="24"/>
          <w:szCs w:val="24"/>
        </w:rPr>
      </w:pPr>
      <w:r>
        <w:rPr>
          <w:rFonts w:ascii="Open Sans" w:hAnsi="Open Sans" w:cs="Open Sans"/>
          <w:color w:val="333333"/>
          <w:sz w:val="24"/>
        </w:rPr>
        <w:t xml:space="preserve">El </w:t>
      </w:r>
      <w:r w:rsidRPr="004442A1">
        <w:rPr>
          <w:rFonts w:ascii="Open Sans" w:hAnsi="Open Sans" w:cs="Open Sans"/>
          <w:color w:val="333333"/>
          <w:sz w:val="24"/>
        </w:rPr>
        <w:t>Centro de Desarrollo Tecnológico</w:t>
      </w:r>
      <w:r>
        <w:rPr>
          <w:rFonts w:ascii="Open Sans" w:hAnsi="Open Sans" w:cs="Open Sans"/>
          <w:color w:val="333333"/>
          <w:sz w:val="24"/>
        </w:rPr>
        <w:t xml:space="preserve"> para la Alimentación y las Energías</w:t>
      </w:r>
      <w:r w:rsidRPr="004442A1">
        <w:rPr>
          <w:rFonts w:ascii="Open Sans" w:hAnsi="Open Sans" w:cs="Open Sans"/>
          <w:color w:val="333333"/>
          <w:sz w:val="24"/>
        </w:rPr>
        <w:t xml:space="preserve"> (</w:t>
      </w:r>
      <w:proofErr w:type="spellStart"/>
      <w:r w:rsidR="00E84333" w:rsidRPr="00E84333">
        <w:rPr>
          <w:rFonts w:ascii="Open Sans" w:hAnsi="Open Sans" w:cs="Open Sans"/>
          <w:color w:val="333333"/>
          <w:sz w:val="24"/>
        </w:rPr>
        <w:t>CdeT</w:t>
      </w:r>
      <w:proofErr w:type="spellEnd"/>
      <w:r w:rsidRPr="004442A1">
        <w:rPr>
          <w:rFonts w:ascii="Open Sans" w:hAnsi="Open Sans" w:cs="Open Sans"/>
          <w:color w:val="333333"/>
          <w:sz w:val="24"/>
        </w:rPr>
        <w:t>)</w:t>
      </w:r>
      <w:r>
        <w:rPr>
          <w:rFonts w:ascii="Open Sans" w:hAnsi="Open Sans" w:cs="Open Sans"/>
          <w:color w:val="333333"/>
          <w:sz w:val="24"/>
        </w:rPr>
        <w:t xml:space="preserve"> </w:t>
      </w:r>
      <w:r w:rsidR="007E2AEC" w:rsidRPr="007E2AEC">
        <w:rPr>
          <w:rFonts w:ascii="Open Sans" w:hAnsi="Open Sans" w:cs="Open Sans"/>
          <w:color w:val="444444"/>
          <w:sz w:val="24"/>
          <w:szCs w:val="24"/>
        </w:rPr>
        <w:t>avanzará hacia su punto de equilibrio financiero y operativo mediante la formalización de contratos de prestación de servicios con actores de los sectores agroindustrial y energético, y la gestión de recursos de cooperación internacional y convocatorias del Estado. UDESTEC profundizará su presencia en colegios de la región nororiental y consolidará alianzas con el sector productivo para el desarrollo de formación dual y técnica con impacto directo en el mercado laboral. UDES Virtual continuará expandiendo su oferta académica en modalidad virtual, con énfasis en nuevos segmentos de mercado y estrategias de retención estudiantil en territorios con brechas formativas identificadas por la estrategia UDES en las Regiones.</w:t>
      </w:r>
    </w:p>
    <w:p w14:paraId="6B022BFB" w14:textId="77777777" w:rsidR="007E2AEC" w:rsidRPr="007E2AEC" w:rsidRDefault="007E2AEC" w:rsidP="007E2AEC">
      <w:pPr>
        <w:spacing w:before="60" w:after="100"/>
        <w:jc w:val="both"/>
        <w:rPr>
          <w:rFonts w:ascii="Open Sans" w:hAnsi="Open Sans" w:cs="Open Sans"/>
          <w:color w:val="444444"/>
          <w:sz w:val="24"/>
          <w:szCs w:val="24"/>
        </w:rPr>
      </w:pPr>
    </w:p>
    <w:p w14:paraId="4D5E3066" w14:textId="77777777" w:rsidR="007E2AEC" w:rsidRPr="007E2AEC" w:rsidRDefault="007E2AEC" w:rsidP="00456B9F">
      <w:pPr>
        <w:spacing w:before="60" w:after="40"/>
        <w:rPr>
          <w:rFonts w:ascii="Open Sans" w:hAnsi="Open Sans" w:cs="Open Sans"/>
          <w:b/>
          <w:bCs/>
          <w:color w:val="003366"/>
          <w:sz w:val="24"/>
          <w:szCs w:val="24"/>
        </w:rPr>
      </w:pPr>
      <w:r w:rsidRPr="007E2AEC">
        <w:rPr>
          <w:rFonts w:ascii="Open Sans" w:hAnsi="Open Sans" w:cs="Open Sans"/>
          <w:b/>
          <w:bCs/>
          <w:color w:val="003366"/>
          <w:sz w:val="24"/>
          <w:szCs w:val="24"/>
        </w:rPr>
        <w:t>Inclusión financiera y permanencia estudiantil</w:t>
      </w:r>
    </w:p>
    <w:p w14:paraId="31738868" w14:textId="1732BAE4" w:rsidR="007E2AEC" w:rsidRP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 xml:space="preserve">La VAF diseñará e implementará esquemas financieros de mayor alcance </w:t>
      </w:r>
      <w:r w:rsidR="00EE6D43">
        <w:rPr>
          <w:rFonts w:ascii="Open Sans" w:hAnsi="Open Sans" w:cs="Open Sans"/>
          <w:color w:val="444444"/>
          <w:sz w:val="24"/>
          <w:szCs w:val="24"/>
        </w:rPr>
        <w:t>(</w:t>
      </w:r>
      <w:r w:rsidRPr="007E2AEC">
        <w:rPr>
          <w:rFonts w:ascii="Open Sans" w:hAnsi="Open Sans" w:cs="Open Sans"/>
          <w:color w:val="444444"/>
          <w:sz w:val="24"/>
          <w:szCs w:val="24"/>
        </w:rPr>
        <w:t>créditos directos a largo plazo, becas estructuradas y convenios con entidades del sistema financiero</w:t>
      </w:r>
      <w:r w:rsidR="00EE6D43">
        <w:rPr>
          <w:rFonts w:ascii="Open Sans" w:hAnsi="Open Sans" w:cs="Open Sans"/>
          <w:color w:val="444444"/>
          <w:sz w:val="24"/>
          <w:szCs w:val="24"/>
        </w:rPr>
        <w:t xml:space="preserve">), </w:t>
      </w:r>
      <w:r w:rsidRPr="007E2AEC">
        <w:rPr>
          <w:rFonts w:ascii="Open Sans" w:hAnsi="Open Sans" w:cs="Open Sans"/>
          <w:color w:val="444444"/>
          <w:sz w:val="24"/>
          <w:szCs w:val="24"/>
        </w:rPr>
        <w:t>orientados a garantizar la permanencia de los estudiantes ante contextos económicos volátiles. Estas estrategias, articuladas con el programa Regresa, la UDES te espera y el sistema institucional de descuentos, buscan consolidar la inclusión como principio rector de la gestión financiera y contribuir directamente a la reducción de la deserción.</w:t>
      </w:r>
    </w:p>
    <w:p w14:paraId="3844BEF8" w14:textId="77777777" w:rsidR="007E2AEC" w:rsidRPr="007E2AEC" w:rsidRDefault="007E2AEC" w:rsidP="007E2AEC">
      <w:pPr>
        <w:spacing w:before="60" w:after="100"/>
        <w:jc w:val="both"/>
        <w:rPr>
          <w:rFonts w:ascii="Open Sans" w:hAnsi="Open Sans" w:cs="Open Sans"/>
          <w:color w:val="444444"/>
          <w:sz w:val="24"/>
          <w:szCs w:val="24"/>
        </w:rPr>
      </w:pPr>
    </w:p>
    <w:p w14:paraId="405F0AFB" w14:textId="77777777" w:rsidR="007E2AEC" w:rsidRPr="007E2AEC" w:rsidRDefault="007E2AEC" w:rsidP="00456B9F">
      <w:pPr>
        <w:spacing w:before="60" w:after="40"/>
        <w:rPr>
          <w:rFonts w:ascii="Open Sans" w:hAnsi="Open Sans" w:cs="Open Sans"/>
          <w:b/>
          <w:bCs/>
          <w:color w:val="003366"/>
          <w:sz w:val="24"/>
          <w:szCs w:val="24"/>
        </w:rPr>
      </w:pPr>
      <w:r w:rsidRPr="007E2AEC">
        <w:rPr>
          <w:rFonts w:ascii="Open Sans" w:hAnsi="Open Sans" w:cs="Open Sans"/>
          <w:b/>
          <w:bCs/>
          <w:color w:val="003366"/>
          <w:sz w:val="24"/>
          <w:szCs w:val="24"/>
        </w:rPr>
        <w:t>Modernización tecnológica e infraestructura</w:t>
      </w:r>
    </w:p>
    <w:p w14:paraId="193525B0" w14:textId="77777777" w:rsidR="007E2AEC" w:rsidRP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La reinversión estratégica en infraestructura física y tecnológica continuará siendo un eje prioritario. Para 2026 se proyecta la renovación de equipos de cómputo y simuladores con inteligencia artificial, la expansión de la infraestructura académica conforme a los planes de desarrollo físico institucional, y el fortalecimiento de las plataformas digitales que soportan los procesos misionales y administrativos. La evolución tecnológica será tratada como una inversión estratégica generadora de valor, y no como un gasto operativo.</w:t>
      </w:r>
    </w:p>
    <w:p w14:paraId="26F396FF" w14:textId="77777777" w:rsidR="007E2AEC" w:rsidRPr="007E2AEC" w:rsidRDefault="007E2AEC" w:rsidP="007E2AEC">
      <w:pPr>
        <w:spacing w:before="60" w:after="100"/>
        <w:jc w:val="both"/>
        <w:rPr>
          <w:rFonts w:ascii="Open Sans" w:hAnsi="Open Sans" w:cs="Open Sans"/>
          <w:color w:val="444444"/>
          <w:sz w:val="24"/>
          <w:szCs w:val="24"/>
        </w:rPr>
      </w:pPr>
    </w:p>
    <w:p w14:paraId="69F4881B" w14:textId="77777777" w:rsidR="007E2AEC" w:rsidRPr="007E2AEC" w:rsidRDefault="007E2AEC" w:rsidP="00456B9F">
      <w:pPr>
        <w:spacing w:before="60" w:after="40"/>
        <w:rPr>
          <w:rFonts w:ascii="Open Sans" w:hAnsi="Open Sans" w:cs="Open Sans"/>
          <w:b/>
          <w:bCs/>
          <w:color w:val="003366"/>
          <w:sz w:val="24"/>
          <w:szCs w:val="24"/>
        </w:rPr>
      </w:pPr>
      <w:r w:rsidRPr="007E2AEC">
        <w:rPr>
          <w:rFonts w:ascii="Open Sans" w:hAnsi="Open Sans" w:cs="Open Sans"/>
          <w:b/>
          <w:bCs/>
          <w:color w:val="003366"/>
          <w:sz w:val="24"/>
          <w:szCs w:val="24"/>
        </w:rPr>
        <w:t>Fortalecimiento del SGC-VAF y calidad del servicio</w:t>
      </w:r>
    </w:p>
    <w:p w14:paraId="65165AFC" w14:textId="1AA58D2C" w:rsidR="007E2AEC" w:rsidRP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 xml:space="preserve">El Sistema de Gestión de la Calidad VAF avanzará en la consolidación de los procesos incorporados en 2025 </w:t>
      </w:r>
      <w:r w:rsidR="00AB58DE">
        <w:rPr>
          <w:rFonts w:ascii="Open Sans" w:hAnsi="Open Sans" w:cs="Open Sans"/>
          <w:color w:val="444444"/>
          <w:sz w:val="24"/>
          <w:szCs w:val="24"/>
        </w:rPr>
        <w:t>(</w:t>
      </w:r>
      <w:r w:rsidRPr="007E2AEC">
        <w:rPr>
          <w:rFonts w:ascii="Open Sans" w:hAnsi="Open Sans" w:cs="Open Sans"/>
          <w:color w:val="444444"/>
          <w:sz w:val="24"/>
          <w:szCs w:val="24"/>
        </w:rPr>
        <w:t>Enseñanza, Extensión y Bienestar</w:t>
      </w:r>
      <w:r w:rsidR="00AB58DE">
        <w:rPr>
          <w:rFonts w:ascii="Open Sans" w:hAnsi="Open Sans" w:cs="Open Sans"/>
          <w:color w:val="444444"/>
          <w:sz w:val="24"/>
          <w:szCs w:val="24"/>
        </w:rPr>
        <w:t xml:space="preserve">) </w:t>
      </w:r>
      <w:r w:rsidRPr="007E2AEC">
        <w:rPr>
          <w:rFonts w:ascii="Open Sans" w:hAnsi="Open Sans" w:cs="Open Sans"/>
          <w:color w:val="444444"/>
          <w:sz w:val="24"/>
          <w:szCs w:val="24"/>
        </w:rPr>
        <w:t xml:space="preserve">y en la implementación de </w:t>
      </w:r>
      <w:r w:rsidRPr="007E2AEC">
        <w:rPr>
          <w:rFonts w:ascii="Open Sans" w:hAnsi="Open Sans" w:cs="Open Sans"/>
          <w:color w:val="444444"/>
          <w:sz w:val="24"/>
          <w:szCs w:val="24"/>
        </w:rPr>
        <w:lastRenderedPageBreak/>
        <w:t>planes de mejoramiento derivados de los resultados PQRSF. La meta para 2026 es elevar la tasa de resolución de incidencias por encima del 90</w:t>
      </w:r>
      <w:r w:rsidR="00AB58DE">
        <w:rPr>
          <w:rFonts w:ascii="Open Sans" w:hAnsi="Open Sans" w:cs="Open Sans"/>
          <w:color w:val="444444"/>
          <w:sz w:val="24"/>
          <w:szCs w:val="24"/>
        </w:rPr>
        <w:t xml:space="preserve"> </w:t>
      </w:r>
      <w:r w:rsidRPr="007E2AEC">
        <w:rPr>
          <w:rFonts w:ascii="Open Sans" w:hAnsi="Open Sans" w:cs="Open Sans"/>
          <w:color w:val="444444"/>
          <w:sz w:val="24"/>
          <w:szCs w:val="24"/>
        </w:rPr>
        <w:t>%, mantener el crecimiento en felicitaciones como indicador de cultura de servicio, y reducir el índice de incidencias por debajo del 3</w:t>
      </w:r>
      <w:r w:rsidR="00AB58DE">
        <w:rPr>
          <w:rFonts w:ascii="Open Sans" w:hAnsi="Open Sans" w:cs="Open Sans"/>
          <w:color w:val="444444"/>
          <w:sz w:val="24"/>
          <w:szCs w:val="24"/>
        </w:rPr>
        <w:t xml:space="preserve"> </w:t>
      </w:r>
      <w:r w:rsidRPr="007E2AEC">
        <w:rPr>
          <w:rFonts w:ascii="Open Sans" w:hAnsi="Open Sans" w:cs="Open Sans"/>
          <w:color w:val="444444"/>
          <w:sz w:val="24"/>
          <w:szCs w:val="24"/>
        </w:rPr>
        <w:t>%. El PQRSF se consolidará como activo de inteligencia institucional para la toma de decisiones de la Alta Dirección.</w:t>
      </w:r>
    </w:p>
    <w:p w14:paraId="25AD53F5" w14:textId="77777777" w:rsidR="007E2AEC" w:rsidRPr="007E2AEC" w:rsidRDefault="007E2AEC" w:rsidP="007E2AEC">
      <w:pPr>
        <w:spacing w:before="60" w:after="100"/>
        <w:jc w:val="both"/>
        <w:rPr>
          <w:rFonts w:ascii="Open Sans" w:hAnsi="Open Sans" w:cs="Open Sans"/>
          <w:color w:val="444444"/>
          <w:sz w:val="24"/>
          <w:szCs w:val="24"/>
        </w:rPr>
      </w:pPr>
    </w:p>
    <w:p w14:paraId="057AB2C0" w14:textId="77777777" w:rsidR="007E2AEC" w:rsidRPr="007E2AEC" w:rsidRDefault="007E2AEC" w:rsidP="00E84333">
      <w:pPr>
        <w:spacing w:before="60" w:after="40"/>
        <w:rPr>
          <w:rFonts w:ascii="Open Sans" w:hAnsi="Open Sans" w:cs="Open Sans"/>
          <w:b/>
          <w:bCs/>
          <w:color w:val="003366"/>
          <w:sz w:val="24"/>
          <w:szCs w:val="24"/>
        </w:rPr>
      </w:pPr>
      <w:r w:rsidRPr="007E2AEC">
        <w:rPr>
          <w:rFonts w:ascii="Open Sans" w:hAnsi="Open Sans" w:cs="Open Sans"/>
          <w:b/>
          <w:bCs/>
          <w:color w:val="003366"/>
          <w:sz w:val="24"/>
          <w:szCs w:val="24"/>
        </w:rPr>
        <w:t>Control de costos y eficiencia administrativa</w:t>
      </w:r>
    </w:p>
    <w:p w14:paraId="4F2833EF" w14:textId="77777777" w:rsidR="007E2AEC" w:rsidRPr="007E2AEC" w:rsidRDefault="007E2AEC" w:rsidP="007E2AEC">
      <w:pPr>
        <w:spacing w:before="60" w:after="100"/>
        <w:jc w:val="both"/>
        <w:rPr>
          <w:rFonts w:ascii="Open Sans" w:hAnsi="Open Sans" w:cs="Open Sans"/>
          <w:color w:val="444444"/>
          <w:sz w:val="24"/>
          <w:szCs w:val="24"/>
        </w:rPr>
      </w:pPr>
      <w:r w:rsidRPr="007E2AEC">
        <w:rPr>
          <w:rFonts w:ascii="Open Sans" w:hAnsi="Open Sans" w:cs="Open Sans"/>
          <w:color w:val="444444"/>
          <w:sz w:val="24"/>
          <w:szCs w:val="24"/>
        </w:rPr>
        <w:t>La VAF mantendrá su compromiso con el control riguroso de los gastos de administración, garantizando que su crecimiento se mantenga sustancialmente por debajo del crecimiento de los ingresos. Los ejercicios de concientización con la academia sobre el uso eficiente de los recursos se profundizarán, evitando la burocratización de los nuevos procesos misionales y preservando la agilidad operativa que caracterizó la gestión 2025.</w:t>
      </w:r>
    </w:p>
    <w:p w14:paraId="07570C95" w14:textId="77777777" w:rsidR="004E738D" w:rsidRDefault="004E738D" w:rsidP="004E738D">
      <w:pPr>
        <w:spacing w:before="200" w:after="80"/>
        <w:rPr>
          <w:b/>
          <w:bCs/>
          <w:color w:val="1F3864"/>
        </w:rPr>
      </w:pPr>
    </w:p>
    <w:p w14:paraId="25D13277" w14:textId="3F8FB672" w:rsidR="004E738D" w:rsidRPr="004E738D" w:rsidRDefault="004E738D" w:rsidP="004E738D">
      <w:pPr>
        <w:spacing w:before="60" w:after="40"/>
        <w:rPr>
          <w:rFonts w:ascii="Open Sans" w:hAnsi="Open Sans" w:cs="Open Sans"/>
          <w:b/>
          <w:bCs/>
          <w:color w:val="003366"/>
          <w:sz w:val="24"/>
          <w:szCs w:val="24"/>
        </w:rPr>
      </w:pPr>
      <w:r w:rsidRPr="004E738D">
        <w:rPr>
          <w:rFonts w:ascii="Open Sans" w:hAnsi="Open Sans" w:cs="Open Sans"/>
          <w:b/>
          <w:bCs/>
          <w:color w:val="003366"/>
          <w:sz w:val="24"/>
          <w:szCs w:val="24"/>
        </w:rPr>
        <w:t>Revisión de la tipología profesoral</w:t>
      </w:r>
    </w:p>
    <w:p w14:paraId="76B7D330" w14:textId="3BB44438" w:rsidR="00CD3551" w:rsidRPr="00290685" w:rsidRDefault="00FD1199" w:rsidP="00FD1199">
      <w:pPr>
        <w:spacing w:before="60" w:after="100"/>
        <w:jc w:val="both"/>
        <w:rPr>
          <w:rFonts w:ascii="Open Sans" w:hAnsi="Open Sans" w:cs="Open Sans"/>
          <w:sz w:val="2"/>
          <w:szCs w:val="2"/>
        </w:rPr>
      </w:pPr>
      <w:r w:rsidRPr="00290685">
        <w:rPr>
          <w:rFonts w:ascii="Open Sans" w:hAnsi="Open Sans" w:cs="Open Sans"/>
          <w:sz w:val="2"/>
          <w:szCs w:val="2"/>
        </w:rPr>
        <w:t xml:space="preserve"> </w:t>
      </w:r>
    </w:p>
    <w:p w14:paraId="10902A8C" w14:textId="1CD59FBF" w:rsidR="004E738D" w:rsidRPr="004E738D" w:rsidRDefault="004E738D" w:rsidP="004E738D">
      <w:pPr>
        <w:spacing w:before="60" w:after="100"/>
        <w:jc w:val="both"/>
        <w:rPr>
          <w:rFonts w:ascii="Open Sans" w:hAnsi="Open Sans" w:cs="Open Sans"/>
          <w:color w:val="444444"/>
          <w:sz w:val="24"/>
          <w:szCs w:val="24"/>
        </w:rPr>
      </w:pPr>
      <w:r w:rsidRPr="004E738D">
        <w:rPr>
          <w:rFonts w:ascii="Open Sans" w:hAnsi="Open Sans" w:cs="Open Sans"/>
          <w:color w:val="444444"/>
          <w:sz w:val="24"/>
          <w:szCs w:val="24"/>
        </w:rPr>
        <w:t>La VAF impulsará en 2026 un proceso de revisión y actualización de la tipología profesoral institucional, en articulación con la Vicerrectoría de Enseñanza y la Dirección de Talento Humano. Esta iniciativa responde a la necesidad de alinear la estructura de la planta docente con las nuevas realidades del modelo educativo</w:t>
      </w:r>
      <w:r>
        <w:rPr>
          <w:rFonts w:ascii="Open Sans" w:hAnsi="Open Sans" w:cs="Open Sans"/>
          <w:color w:val="444444"/>
          <w:sz w:val="24"/>
          <w:szCs w:val="24"/>
        </w:rPr>
        <w:t xml:space="preserve"> </w:t>
      </w:r>
      <w:r w:rsidRPr="004E738D">
        <w:rPr>
          <w:rFonts w:ascii="Open Sans" w:hAnsi="Open Sans" w:cs="Open Sans"/>
          <w:color w:val="444444"/>
          <w:sz w:val="24"/>
          <w:szCs w:val="24"/>
        </w:rPr>
        <w:t>presencial, híbrido y virtual, con los requerimientos de los procesos de acreditación y con las exigencias de sostenibilidad financiera de la institución.</w:t>
      </w:r>
      <w:r>
        <w:rPr>
          <w:rFonts w:ascii="Open Sans" w:hAnsi="Open Sans" w:cs="Open Sans"/>
          <w:color w:val="444444"/>
          <w:sz w:val="24"/>
          <w:szCs w:val="24"/>
        </w:rPr>
        <w:t xml:space="preserve"> </w:t>
      </w:r>
      <w:r w:rsidRPr="004E738D">
        <w:rPr>
          <w:rFonts w:ascii="Open Sans" w:hAnsi="Open Sans" w:cs="Open Sans"/>
          <w:color w:val="444444"/>
          <w:sz w:val="24"/>
          <w:szCs w:val="24"/>
        </w:rPr>
        <w:t>El resultado esperado es un modelo de tipología profesoral actualizado, sostenible financieramente, pertinente frente a los contextos híbridos y virtuales, y alineado con los criterios del Estatuto Profesoral en proceso de actualización, contribuyendo al fortalecimiento de las condiciones de calidad que sustentan la renovación de la acreditación institucional de alta calidad</w:t>
      </w:r>
    </w:p>
    <w:p w14:paraId="3DEE3E6F" w14:textId="77777777" w:rsidR="00A44152" w:rsidRDefault="00A44152">
      <w:pPr>
        <w:pStyle w:val="Ttulo2"/>
        <w:rPr>
          <w:rFonts w:ascii="Open Sans" w:hAnsi="Open Sans" w:cs="Open Sans"/>
          <w:sz w:val="24"/>
          <w:szCs w:val="24"/>
        </w:rPr>
      </w:pPr>
    </w:p>
    <w:sectPr w:rsidR="00A44152" w:rsidSect="0046187A">
      <w:headerReference w:type="default" r:id="rId17"/>
      <w:footerReference w:type="default" r:id="rId18"/>
      <w:pgSz w:w="12240" w:h="15840" w:code="1"/>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8E2E" w14:textId="77777777" w:rsidR="00EA3F43" w:rsidRDefault="00EA3F43">
      <w:r>
        <w:separator/>
      </w:r>
    </w:p>
  </w:endnote>
  <w:endnote w:type="continuationSeparator" w:id="0">
    <w:p w14:paraId="79AA57AF" w14:textId="77777777" w:rsidR="00EA3F43" w:rsidRDefault="00EA3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Open Sans">
    <w:panose1 w:val="00000000000000000000"/>
    <w:charset w:val="00"/>
    <w:family w:val="auto"/>
    <w:pitch w:val="variable"/>
    <w:sig w:usb0="E00002FF" w:usb1="4000201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Spranq eco sans">
    <w:altName w:val="Malgun Gothic"/>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65CF" w14:textId="7B7E0E0A" w:rsidR="00CD3551" w:rsidRDefault="00E7763B">
    <w:pPr>
      <w:pBdr>
        <w:top w:val="single" w:sz="4" w:space="2" w:color="D6E4F0"/>
      </w:pBdr>
      <w:tabs>
        <w:tab w:val="right" w:pos="9026"/>
      </w:tabs>
      <w:spacing w:before="80"/>
    </w:pPr>
    <w:r>
      <w:rPr>
        <w:color w:val="444444"/>
        <w:sz w:val="16"/>
        <w:szCs w:val="16"/>
      </w:rPr>
      <w:t>Informe de Gestión UDES 2025</w:t>
    </w:r>
    <w:r>
      <w:rPr>
        <w:sz w:val="16"/>
        <w:szCs w:val="16"/>
      </w:rPr>
      <w:tab/>
    </w:r>
    <w:r>
      <w:rPr>
        <w:color w:val="003366"/>
        <w:sz w:val="16"/>
        <w:szCs w:val="16"/>
      </w:rPr>
      <w:fldChar w:fldCharType="begin"/>
    </w:r>
    <w:r>
      <w:rPr>
        <w:color w:val="003366"/>
        <w:sz w:val="16"/>
        <w:szCs w:val="16"/>
      </w:rPr>
      <w:instrText xml:space="preserve"> PAGE </w:instrText>
    </w:r>
    <w:r>
      <w:rPr>
        <w:color w:val="003366"/>
        <w:sz w:val="16"/>
        <w:szCs w:val="16"/>
      </w:rPr>
      <w:fldChar w:fldCharType="separate"/>
    </w:r>
    <w:r>
      <w:rPr>
        <w:noProof/>
        <w:color w:val="003366"/>
        <w:sz w:val="16"/>
        <w:szCs w:val="16"/>
      </w:rPr>
      <w:t>1</w:t>
    </w:r>
    <w:r>
      <w:rPr>
        <w:color w:val="0033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A056F" w14:textId="77777777" w:rsidR="00EA3F43" w:rsidRDefault="00EA3F43">
      <w:r>
        <w:separator/>
      </w:r>
    </w:p>
  </w:footnote>
  <w:footnote w:type="continuationSeparator" w:id="0">
    <w:p w14:paraId="5D725410" w14:textId="77777777" w:rsidR="00EA3F43" w:rsidRDefault="00EA3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5825" w14:textId="64790CBD" w:rsidR="00CD3551" w:rsidRDefault="00CC7541">
    <w:pPr>
      <w:pBdr>
        <w:bottom w:val="single" w:sz="6" w:space="2" w:color="1F5C99"/>
      </w:pBdr>
      <w:spacing w:after="80"/>
    </w:pPr>
    <w:r w:rsidRPr="007E116C">
      <w:rPr>
        <w:noProof/>
      </w:rPr>
      <w:drawing>
        <wp:anchor distT="0" distB="0" distL="114300" distR="114300" simplePos="0" relativeHeight="251658240" behindDoc="0" locked="0" layoutInCell="1" allowOverlap="1" wp14:anchorId="12EAACD8" wp14:editId="66E5109C">
          <wp:simplePos x="0" y="0"/>
          <wp:positionH relativeFrom="column">
            <wp:posOffset>4522517</wp:posOffset>
          </wp:positionH>
          <wp:positionV relativeFrom="paragraph">
            <wp:posOffset>-340038</wp:posOffset>
          </wp:positionV>
          <wp:extent cx="1869744" cy="540048"/>
          <wp:effectExtent l="0" t="0" r="0" b="0"/>
          <wp:wrapNone/>
          <wp:docPr id="6739118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1868" name="Imagen 1" descr="Texto&#10;&#10;El contenido generado por IA puede ser incorrecto."/>
                  <pic:cNvPicPr/>
                </pic:nvPicPr>
                <pic:blipFill>
                  <a:blip r:embed="rId1">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869744" cy="540048"/>
                  </a:xfrm>
                  <a:prstGeom prst="rect">
                    <a:avLst/>
                  </a:prstGeom>
                </pic:spPr>
              </pic:pic>
            </a:graphicData>
          </a:graphic>
          <wp14:sizeRelH relativeFrom="margin">
            <wp14:pctWidth>0</wp14:pctWidth>
          </wp14:sizeRelH>
          <wp14:sizeRelV relativeFrom="margin">
            <wp14:pctHeight>0</wp14:pctHeight>
          </wp14:sizeRelV>
        </wp:anchor>
      </w:drawing>
    </w:r>
    <w:r w:rsidR="003072E3">
      <w:rPr>
        <w:b/>
        <w:bCs/>
        <w:color w:val="003366"/>
        <w:sz w:val="18"/>
        <w:szCs w:val="18"/>
      </w:rPr>
      <w:t>UNIVERSIDAD DE SANTANDER</w:t>
    </w:r>
    <w:r w:rsidR="003072E3">
      <w:rPr>
        <w:color w:val="444444"/>
        <w:sz w:val="18"/>
        <w:szCs w:val="18"/>
      </w:rPr>
      <w:t xml:space="preserve">   |   Informe de Gestión Institucional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CED"/>
    <w:multiLevelType w:val="hybridMultilevel"/>
    <w:tmpl w:val="7D5CC25A"/>
    <w:lvl w:ilvl="0" w:tplc="DF2AE1AE">
      <w:start w:val="1"/>
      <w:numFmt w:val="decimal"/>
      <w:lvlText w:val="%1."/>
      <w:lvlJc w:val="left"/>
      <w:pPr>
        <w:ind w:left="720" w:hanging="360"/>
      </w:pPr>
      <w:rPr>
        <w:rFonts w:hint="default"/>
        <w:color w:val="2E75B6"/>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DD1135"/>
    <w:multiLevelType w:val="multilevel"/>
    <w:tmpl w:val="951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045DC"/>
    <w:multiLevelType w:val="hybridMultilevel"/>
    <w:tmpl w:val="7DAE21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9077C16"/>
    <w:multiLevelType w:val="hybridMultilevel"/>
    <w:tmpl w:val="5FDCCFA6"/>
    <w:lvl w:ilvl="0" w:tplc="931639EE">
      <w:start w:val="1"/>
      <w:numFmt w:val="bullet"/>
      <w:lvlText w:val="–"/>
      <w:lvlJc w:val="left"/>
      <w:pPr>
        <w:ind w:left="900" w:hanging="360"/>
      </w:pPr>
    </w:lvl>
    <w:lvl w:ilvl="1" w:tplc="C05401C8">
      <w:numFmt w:val="decimal"/>
      <w:lvlText w:val=""/>
      <w:lvlJc w:val="left"/>
    </w:lvl>
    <w:lvl w:ilvl="2" w:tplc="9F3AF0FC">
      <w:numFmt w:val="decimal"/>
      <w:lvlText w:val=""/>
      <w:lvlJc w:val="left"/>
    </w:lvl>
    <w:lvl w:ilvl="3" w:tplc="73A4CFB4">
      <w:numFmt w:val="decimal"/>
      <w:lvlText w:val=""/>
      <w:lvlJc w:val="left"/>
    </w:lvl>
    <w:lvl w:ilvl="4" w:tplc="B28E9780">
      <w:numFmt w:val="decimal"/>
      <w:lvlText w:val=""/>
      <w:lvlJc w:val="left"/>
    </w:lvl>
    <w:lvl w:ilvl="5" w:tplc="8A349544">
      <w:numFmt w:val="decimal"/>
      <w:lvlText w:val=""/>
      <w:lvlJc w:val="left"/>
    </w:lvl>
    <w:lvl w:ilvl="6" w:tplc="DF1832EC">
      <w:numFmt w:val="decimal"/>
      <w:lvlText w:val=""/>
      <w:lvlJc w:val="left"/>
    </w:lvl>
    <w:lvl w:ilvl="7" w:tplc="D19CE564">
      <w:numFmt w:val="decimal"/>
      <w:lvlText w:val=""/>
      <w:lvlJc w:val="left"/>
    </w:lvl>
    <w:lvl w:ilvl="8" w:tplc="AA367610">
      <w:numFmt w:val="decimal"/>
      <w:lvlText w:val=""/>
      <w:lvlJc w:val="left"/>
    </w:lvl>
  </w:abstractNum>
  <w:abstractNum w:abstractNumId="4" w15:restartNumberingAfterBreak="0">
    <w:nsid w:val="3D011CAA"/>
    <w:multiLevelType w:val="hybridMultilevel"/>
    <w:tmpl w:val="984E92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D40074A"/>
    <w:multiLevelType w:val="hybridMultilevel"/>
    <w:tmpl w:val="91B680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C614A4"/>
    <w:multiLevelType w:val="hybridMultilevel"/>
    <w:tmpl w:val="BBB6E82E"/>
    <w:lvl w:ilvl="0" w:tplc="CA54B406">
      <w:start w:val="1"/>
      <w:numFmt w:val="bullet"/>
      <w:lvlText w:val="●"/>
      <w:lvlJc w:val="left"/>
      <w:pPr>
        <w:ind w:left="720" w:hanging="360"/>
      </w:pPr>
    </w:lvl>
    <w:lvl w:ilvl="1" w:tplc="F718F0EC">
      <w:start w:val="1"/>
      <w:numFmt w:val="bullet"/>
      <w:lvlText w:val="○"/>
      <w:lvlJc w:val="left"/>
      <w:pPr>
        <w:ind w:left="1440" w:hanging="360"/>
      </w:pPr>
    </w:lvl>
    <w:lvl w:ilvl="2" w:tplc="35820CDC">
      <w:start w:val="1"/>
      <w:numFmt w:val="bullet"/>
      <w:lvlText w:val="■"/>
      <w:lvlJc w:val="left"/>
      <w:pPr>
        <w:ind w:left="2160" w:hanging="360"/>
      </w:pPr>
    </w:lvl>
    <w:lvl w:ilvl="3" w:tplc="B304469A">
      <w:start w:val="1"/>
      <w:numFmt w:val="bullet"/>
      <w:lvlText w:val="●"/>
      <w:lvlJc w:val="left"/>
      <w:pPr>
        <w:ind w:left="2880" w:hanging="360"/>
      </w:pPr>
    </w:lvl>
    <w:lvl w:ilvl="4" w:tplc="EB6E6F94">
      <w:start w:val="1"/>
      <w:numFmt w:val="bullet"/>
      <w:lvlText w:val="○"/>
      <w:lvlJc w:val="left"/>
      <w:pPr>
        <w:ind w:left="3600" w:hanging="360"/>
      </w:pPr>
    </w:lvl>
    <w:lvl w:ilvl="5" w:tplc="1608710E">
      <w:start w:val="1"/>
      <w:numFmt w:val="bullet"/>
      <w:lvlText w:val="■"/>
      <w:lvlJc w:val="left"/>
      <w:pPr>
        <w:ind w:left="4320" w:hanging="360"/>
      </w:pPr>
    </w:lvl>
    <w:lvl w:ilvl="6" w:tplc="BEFA3064">
      <w:start w:val="1"/>
      <w:numFmt w:val="bullet"/>
      <w:lvlText w:val="●"/>
      <w:lvlJc w:val="left"/>
      <w:pPr>
        <w:ind w:left="5040" w:hanging="360"/>
      </w:pPr>
    </w:lvl>
    <w:lvl w:ilvl="7" w:tplc="CEE270AE">
      <w:start w:val="1"/>
      <w:numFmt w:val="bullet"/>
      <w:lvlText w:val="●"/>
      <w:lvlJc w:val="left"/>
      <w:pPr>
        <w:ind w:left="5760" w:hanging="360"/>
      </w:pPr>
    </w:lvl>
    <w:lvl w:ilvl="8" w:tplc="6694BC76">
      <w:start w:val="1"/>
      <w:numFmt w:val="bullet"/>
      <w:lvlText w:val="●"/>
      <w:lvlJc w:val="left"/>
      <w:pPr>
        <w:ind w:left="6480" w:hanging="360"/>
      </w:pPr>
    </w:lvl>
  </w:abstractNum>
  <w:abstractNum w:abstractNumId="7" w15:restartNumberingAfterBreak="0">
    <w:nsid w:val="44F52227"/>
    <w:multiLevelType w:val="hybridMultilevel"/>
    <w:tmpl w:val="45C2A6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A596D58"/>
    <w:multiLevelType w:val="hybridMultilevel"/>
    <w:tmpl w:val="889C3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DDA6809"/>
    <w:multiLevelType w:val="hybridMultilevel"/>
    <w:tmpl w:val="C87017EA"/>
    <w:lvl w:ilvl="0" w:tplc="E56011E4">
      <w:start w:val="1"/>
      <w:numFmt w:val="bullet"/>
      <w:lvlText w:val="•"/>
      <w:lvlJc w:val="left"/>
      <w:pPr>
        <w:ind w:left="720" w:hanging="360"/>
      </w:pPr>
    </w:lvl>
    <w:lvl w:ilvl="1" w:tplc="DE82A514">
      <w:numFmt w:val="decimal"/>
      <w:lvlText w:val=""/>
      <w:lvlJc w:val="left"/>
    </w:lvl>
    <w:lvl w:ilvl="2" w:tplc="9574103E">
      <w:numFmt w:val="decimal"/>
      <w:lvlText w:val=""/>
      <w:lvlJc w:val="left"/>
    </w:lvl>
    <w:lvl w:ilvl="3" w:tplc="887EE362">
      <w:numFmt w:val="decimal"/>
      <w:lvlText w:val=""/>
      <w:lvlJc w:val="left"/>
    </w:lvl>
    <w:lvl w:ilvl="4" w:tplc="D236FEAC">
      <w:numFmt w:val="decimal"/>
      <w:lvlText w:val=""/>
      <w:lvlJc w:val="left"/>
    </w:lvl>
    <w:lvl w:ilvl="5" w:tplc="9716D3AA">
      <w:numFmt w:val="decimal"/>
      <w:lvlText w:val=""/>
      <w:lvlJc w:val="left"/>
    </w:lvl>
    <w:lvl w:ilvl="6" w:tplc="B35A34A2">
      <w:numFmt w:val="decimal"/>
      <w:lvlText w:val=""/>
      <w:lvlJc w:val="left"/>
    </w:lvl>
    <w:lvl w:ilvl="7" w:tplc="A738B546">
      <w:numFmt w:val="decimal"/>
      <w:lvlText w:val=""/>
      <w:lvlJc w:val="left"/>
    </w:lvl>
    <w:lvl w:ilvl="8" w:tplc="DDA6C70E">
      <w:numFmt w:val="decimal"/>
      <w:lvlText w:val=""/>
      <w:lvlJc w:val="left"/>
    </w:lvl>
  </w:abstractNum>
  <w:abstractNum w:abstractNumId="10" w15:restartNumberingAfterBreak="0">
    <w:nsid w:val="51404E18"/>
    <w:multiLevelType w:val="multilevel"/>
    <w:tmpl w:val="400686F8"/>
    <w:lvl w:ilvl="0">
      <w:start w:val="1"/>
      <w:numFmt w:val="decimal"/>
      <w:pStyle w:val="udes1"/>
      <w:lvlText w:val="%1."/>
      <w:lvlJc w:val="left"/>
      <w:pPr>
        <w:ind w:left="360" w:hanging="360"/>
      </w:pPr>
      <w:rPr>
        <w:rFonts w:hint="default"/>
        <w:color w:val="auto"/>
      </w:rPr>
    </w:lvl>
    <w:lvl w:ilvl="1">
      <w:start w:val="1"/>
      <w:numFmt w:val="decimal"/>
      <w:pStyle w:val="udes1"/>
      <w:lvlText w:val="%1.%2."/>
      <w:lvlJc w:val="left"/>
      <w:pPr>
        <w:ind w:left="9157" w:hanging="51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072" w:hanging="504"/>
      </w:pPr>
      <w:rPr>
        <w:rFonts w:hint="default"/>
        <w:lang w:val="es-C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27C17CC"/>
    <w:multiLevelType w:val="hybridMultilevel"/>
    <w:tmpl w:val="51605524"/>
    <w:lvl w:ilvl="0" w:tplc="D9B0D46C">
      <w:start w:val="1"/>
      <w:numFmt w:val="bullet"/>
      <w:lvlText w:val="•"/>
      <w:lvlJc w:val="left"/>
      <w:pPr>
        <w:ind w:left="540" w:hanging="360"/>
      </w:pPr>
    </w:lvl>
    <w:lvl w:ilvl="1" w:tplc="CD62D49C">
      <w:numFmt w:val="decimal"/>
      <w:lvlText w:val=""/>
      <w:lvlJc w:val="left"/>
    </w:lvl>
    <w:lvl w:ilvl="2" w:tplc="DD1619B6">
      <w:numFmt w:val="decimal"/>
      <w:lvlText w:val=""/>
      <w:lvlJc w:val="left"/>
    </w:lvl>
    <w:lvl w:ilvl="3" w:tplc="ABC4E9FC">
      <w:numFmt w:val="decimal"/>
      <w:lvlText w:val=""/>
      <w:lvlJc w:val="left"/>
    </w:lvl>
    <w:lvl w:ilvl="4" w:tplc="E94CC48E">
      <w:numFmt w:val="decimal"/>
      <w:lvlText w:val=""/>
      <w:lvlJc w:val="left"/>
    </w:lvl>
    <w:lvl w:ilvl="5" w:tplc="FBDCF20E">
      <w:numFmt w:val="decimal"/>
      <w:lvlText w:val=""/>
      <w:lvlJc w:val="left"/>
    </w:lvl>
    <w:lvl w:ilvl="6" w:tplc="CBC4A8FA">
      <w:numFmt w:val="decimal"/>
      <w:lvlText w:val=""/>
      <w:lvlJc w:val="left"/>
    </w:lvl>
    <w:lvl w:ilvl="7" w:tplc="2E749E26">
      <w:numFmt w:val="decimal"/>
      <w:lvlText w:val=""/>
      <w:lvlJc w:val="left"/>
    </w:lvl>
    <w:lvl w:ilvl="8" w:tplc="B6043D64">
      <w:numFmt w:val="decimal"/>
      <w:lvlText w:val=""/>
      <w:lvlJc w:val="left"/>
    </w:lvl>
  </w:abstractNum>
  <w:num w:numId="1" w16cid:durableId="626545785">
    <w:abstractNumId w:val="6"/>
    <w:lvlOverride w:ilvl="0">
      <w:startOverride w:val="1"/>
    </w:lvlOverride>
  </w:num>
  <w:num w:numId="2" w16cid:durableId="824509255">
    <w:abstractNumId w:val="11"/>
    <w:lvlOverride w:ilvl="0">
      <w:startOverride w:val="1"/>
    </w:lvlOverride>
  </w:num>
  <w:num w:numId="3" w16cid:durableId="464082377">
    <w:abstractNumId w:val="9"/>
    <w:lvlOverride w:ilvl="0">
      <w:startOverride w:val="1"/>
    </w:lvlOverride>
  </w:num>
  <w:num w:numId="4" w16cid:durableId="770584754">
    <w:abstractNumId w:val="2"/>
  </w:num>
  <w:num w:numId="5" w16cid:durableId="545145101">
    <w:abstractNumId w:val="10"/>
  </w:num>
  <w:num w:numId="6" w16cid:durableId="801000541">
    <w:abstractNumId w:val="1"/>
  </w:num>
  <w:num w:numId="7" w16cid:durableId="1520965604">
    <w:abstractNumId w:val="8"/>
  </w:num>
  <w:num w:numId="8" w16cid:durableId="125709113">
    <w:abstractNumId w:val="0"/>
  </w:num>
  <w:num w:numId="9" w16cid:durableId="2112584228">
    <w:abstractNumId w:val="10"/>
  </w:num>
  <w:num w:numId="10" w16cid:durableId="1532915363">
    <w:abstractNumId w:val="5"/>
  </w:num>
  <w:num w:numId="11" w16cid:durableId="108552733">
    <w:abstractNumId w:val="4"/>
  </w:num>
  <w:num w:numId="12" w16cid:durableId="421725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551"/>
    <w:rsid w:val="0001514C"/>
    <w:rsid w:val="00051ED7"/>
    <w:rsid w:val="00055DC5"/>
    <w:rsid w:val="000564D5"/>
    <w:rsid w:val="00063F31"/>
    <w:rsid w:val="00065E39"/>
    <w:rsid w:val="00067B3C"/>
    <w:rsid w:val="00073AB1"/>
    <w:rsid w:val="00092471"/>
    <w:rsid w:val="00092A1C"/>
    <w:rsid w:val="000A1F89"/>
    <w:rsid w:val="000C6C2A"/>
    <w:rsid w:val="000D4AA1"/>
    <w:rsid w:val="000D64E4"/>
    <w:rsid w:val="000D6F02"/>
    <w:rsid w:val="000F1C67"/>
    <w:rsid w:val="000F4695"/>
    <w:rsid w:val="000F6547"/>
    <w:rsid w:val="00123D70"/>
    <w:rsid w:val="001263EC"/>
    <w:rsid w:val="001403A6"/>
    <w:rsid w:val="00145F34"/>
    <w:rsid w:val="001621FD"/>
    <w:rsid w:val="00180E06"/>
    <w:rsid w:val="00185064"/>
    <w:rsid w:val="001A4F0E"/>
    <w:rsid w:val="001E2E0E"/>
    <w:rsid w:val="002044B3"/>
    <w:rsid w:val="00215E24"/>
    <w:rsid w:val="00240861"/>
    <w:rsid w:val="00264ED2"/>
    <w:rsid w:val="002741D5"/>
    <w:rsid w:val="00276AD6"/>
    <w:rsid w:val="00290685"/>
    <w:rsid w:val="002A4B77"/>
    <w:rsid w:val="002C01A3"/>
    <w:rsid w:val="002C44E6"/>
    <w:rsid w:val="003072E3"/>
    <w:rsid w:val="00317D0E"/>
    <w:rsid w:val="003315AD"/>
    <w:rsid w:val="00356DC2"/>
    <w:rsid w:val="00360412"/>
    <w:rsid w:val="00361F1A"/>
    <w:rsid w:val="00364FF8"/>
    <w:rsid w:val="00397D52"/>
    <w:rsid w:val="003B0A91"/>
    <w:rsid w:val="003B5E11"/>
    <w:rsid w:val="003E02E9"/>
    <w:rsid w:val="003E0713"/>
    <w:rsid w:val="003E38AA"/>
    <w:rsid w:val="003F372C"/>
    <w:rsid w:val="00400B46"/>
    <w:rsid w:val="00417459"/>
    <w:rsid w:val="004442A1"/>
    <w:rsid w:val="004539E0"/>
    <w:rsid w:val="00454E35"/>
    <w:rsid w:val="00456205"/>
    <w:rsid w:val="00456B9F"/>
    <w:rsid w:val="0046187A"/>
    <w:rsid w:val="00477445"/>
    <w:rsid w:val="00483199"/>
    <w:rsid w:val="004B3E23"/>
    <w:rsid w:val="004B7D95"/>
    <w:rsid w:val="004C42F5"/>
    <w:rsid w:val="004E738D"/>
    <w:rsid w:val="004F6A41"/>
    <w:rsid w:val="00503429"/>
    <w:rsid w:val="005209DC"/>
    <w:rsid w:val="005264B8"/>
    <w:rsid w:val="005341B3"/>
    <w:rsid w:val="00540CD4"/>
    <w:rsid w:val="00542BB9"/>
    <w:rsid w:val="005900BB"/>
    <w:rsid w:val="0059200A"/>
    <w:rsid w:val="00595055"/>
    <w:rsid w:val="005C745B"/>
    <w:rsid w:val="00602121"/>
    <w:rsid w:val="00614C8D"/>
    <w:rsid w:val="0061605C"/>
    <w:rsid w:val="0064307B"/>
    <w:rsid w:val="00672AAB"/>
    <w:rsid w:val="006764CF"/>
    <w:rsid w:val="006859E1"/>
    <w:rsid w:val="00685BB4"/>
    <w:rsid w:val="006B4312"/>
    <w:rsid w:val="006C5213"/>
    <w:rsid w:val="006D7358"/>
    <w:rsid w:val="006E7B0E"/>
    <w:rsid w:val="006F375E"/>
    <w:rsid w:val="006F4353"/>
    <w:rsid w:val="007140C5"/>
    <w:rsid w:val="007240CE"/>
    <w:rsid w:val="00726C16"/>
    <w:rsid w:val="00743F35"/>
    <w:rsid w:val="007523BA"/>
    <w:rsid w:val="00770BFF"/>
    <w:rsid w:val="007725CC"/>
    <w:rsid w:val="00777BC6"/>
    <w:rsid w:val="007806F8"/>
    <w:rsid w:val="00786472"/>
    <w:rsid w:val="00796400"/>
    <w:rsid w:val="007A4BAB"/>
    <w:rsid w:val="007E2AEC"/>
    <w:rsid w:val="00813E34"/>
    <w:rsid w:val="00815471"/>
    <w:rsid w:val="008209A1"/>
    <w:rsid w:val="008305A4"/>
    <w:rsid w:val="00832AA6"/>
    <w:rsid w:val="00850CE6"/>
    <w:rsid w:val="008661C3"/>
    <w:rsid w:val="0086644E"/>
    <w:rsid w:val="00866A10"/>
    <w:rsid w:val="00872C9E"/>
    <w:rsid w:val="00876FF3"/>
    <w:rsid w:val="00886F4A"/>
    <w:rsid w:val="008A0B4E"/>
    <w:rsid w:val="008A3C7C"/>
    <w:rsid w:val="008A4145"/>
    <w:rsid w:val="008B1A97"/>
    <w:rsid w:val="008B6F61"/>
    <w:rsid w:val="008D2876"/>
    <w:rsid w:val="008D5CCE"/>
    <w:rsid w:val="008E3C94"/>
    <w:rsid w:val="008F0DC9"/>
    <w:rsid w:val="008F273E"/>
    <w:rsid w:val="008F6706"/>
    <w:rsid w:val="009056D6"/>
    <w:rsid w:val="00935A5F"/>
    <w:rsid w:val="0095544C"/>
    <w:rsid w:val="00975743"/>
    <w:rsid w:val="00995EA2"/>
    <w:rsid w:val="009A02B6"/>
    <w:rsid w:val="009A2F30"/>
    <w:rsid w:val="009C0026"/>
    <w:rsid w:val="009D54B1"/>
    <w:rsid w:val="00A34C74"/>
    <w:rsid w:val="00A44152"/>
    <w:rsid w:val="00A45EF2"/>
    <w:rsid w:val="00A464E7"/>
    <w:rsid w:val="00A51159"/>
    <w:rsid w:val="00A67F78"/>
    <w:rsid w:val="00A74935"/>
    <w:rsid w:val="00A8517B"/>
    <w:rsid w:val="00A852CF"/>
    <w:rsid w:val="00A93FCF"/>
    <w:rsid w:val="00A970E2"/>
    <w:rsid w:val="00AB009D"/>
    <w:rsid w:val="00AB20D8"/>
    <w:rsid w:val="00AB3E16"/>
    <w:rsid w:val="00AB58DE"/>
    <w:rsid w:val="00AC7C89"/>
    <w:rsid w:val="00AD6121"/>
    <w:rsid w:val="00AE51C7"/>
    <w:rsid w:val="00B109AC"/>
    <w:rsid w:val="00B1441C"/>
    <w:rsid w:val="00B30BFC"/>
    <w:rsid w:val="00B30F37"/>
    <w:rsid w:val="00B351DD"/>
    <w:rsid w:val="00B522FF"/>
    <w:rsid w:val="00B67ACB"/>
    <w:rsid w:val="00B71EC2"/>
    <w:rsid w:val="00B75DE4"/>
    <w:rsid w:val="00BA560D"/>
    <w:rsid w:val="00BC6808"/>
    <w:rsid w:val="00BF6A74"/>
    <w:rsid w:val="00C15054"/>
    <w:rsid w:val="00C30B8E"/>
    <w:rsid w:val="00C3337D"/>
    <w:rsid w:val="00C62283"/>
    <w:rsid w:val="00C81E79"/>
    <w:rsid w:val="00CA5AE8"/>
    <w:rsid w:val="00CB1761"/>
    <w:rsid w:val="00CC1F39"/>
    <w:rsid w:val="00CC7541"/>
    <w:rsid w:val="00CD3551"/>
    <w:rsid w:val="00D13CBF"/>
    <w:rsid w:val="00D302E5"/>
    <w:rsid w:val="00D61187"/>
    <w:rsid w:val="00D80D0B"/>
    <w:rsid w:val="00E02A68"/>
    <w:rsid w:val="00E11E2A"/>
    <w:rsid w:val="00E14149"/>
    <w:rsid w:val="00E34FAE"/>
    <w:rsid w:val="00E37C62"/>
    <w:rsid w:val="00E54416"/>
    <w:rsid w:val="00E603B5"/>
    <w:rsid w:val="00E61403"/>
    <w:rsid w:val="00E618B7"/>
    <w:rsid w:val="00E7763B"/>
    <w:rsid w:val="00E84333"/>
    <w:rsid w:val="00EA3F43"/>
    <w:rsid w:val="00EB0CF7"/>
    <w:rsid w:val="00ED323C"/>
    <w:rsid w:val="00ED3E3A"/>
    <w:rsid w:val="00EE6D43"/>
    <w:rsid w:val="00EF427C"/>
    <w:rsid w:val="00F43D5E"/>
    <w:rsid w:val="00F52E6A"/>
    <w:rsid w:val="00F535CC"/>
    <w:rsid w:val="00F704CD"/>
    <w:rsid w:val="00F70AE8"/>
    <w:rsid w:val="00F70FE8"/>
    <w:rsid w:val="00F85B95"/>
    <w:rsid w:val="00F961F4"/>
    <w:rsid w:val="00FD1199"/>
    <w:rsid w:val="00FE79C0"/>
    <w:rsid w:val="00FF0F51"/>
    <w:rsid w:val="0BA901D7"/>
    <w:rsid w:val="2B5E38AD"/>
    <w:rsid w:val="3C0509C3"/>
    <w:rsid w:val="4E2CEF0E"/>
    <w:rsid w:val="50E2C7D8"/>
    <w:rsid w:val="61F721A9"/>
    <w:rsid w:val="71D1A317"/>
    <w:rsid w:val="7480F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A8B84"/>
  <w15:docId w15:val="{8CE2D09C-9A00-4F2F-AD11-449465478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003366"/>
      <w:sz w:val="36"/>
      <w:szCs w:val="36"/>
    </w:rPr>
  </w:style>
  <w:style w:type="paragraph" w:styleId="Ttulo2">
    <w:name w:val="heading 2"/>
    <w:uiPriority w:val="9"/>
    <w:unhideWhenUsed/>
    <w:qFormat/>
    <w:pPr>
      <w:spacing w:before="280" w:after="120"/>
      <w:outlineLvl w:val="1"/>
    </w:pPr>
    <w:rPr>
      <w:b/>
      <w:bCs/>
      <w:color w:val="1F5C99"/>
      <w:sz w:val="28"/>
      <w:szCs w:val="28"/>
    </w:rPr>
  </w:style>
  <w:style w:type="paragraph" w:styleId="Ttulo3">
    <w:name w:val="heading 3"/>
    <w:uiPriority w:val="9"/>
    <w:unhideWhenUsed/>
    <w:qFormat/>
    <w:pPr>
      <w:spacing w:before="220" w:after="80"/>
      <w:outlineLvl w:val="2"/>
    </w:pPr>
    <w:rPr>
      <w:b/>
      <w:bCs/>
      <w:color w:val="1A7A4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link w:val="PrrafodelistaCar"/>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E7763B"/>
    <w:pPr>
      <w:tabs>
        <w:tab w:val="center" w:pos="4419"/>
        <w:tab w:val="right" w:pos="8838"/>
      </w:tabs>
    </w:pPr>
  </w:style>
  <w:style w:type="character" w:customStyle="1" w:styleId="EncabezadoCar">
    <w:name w:val="Encabezado Car"/>
    <w:basedOn w:val="Fuentedeprrafopredeter"/>
    <w:link w:val="Encabezado"/>
    <w:uiPriority w:val="99"/>
    <w:rsid w:val="00E7763B"/>
  </w:style>
  <w:style w:type="paragraph" w:styleId="Piedepgina">
    <w:name w:val="footer"/>
    <w:basedOn w:val="Normal"/>
    <w:link w:val="PiedepginaCar"/>
    <w:uiPriority w:val="99"/>
    <w:unhideWhenUsed/>
    <w:rsid w:val="00E7763B"/>
    <w:pPr>
      <w:tabs>
        <w:tab w:val="center" w:pos="4419"/>
        <w:tab w:val="right" w:pos="8838"/>
      </w:tabs>
    </w:pPr>
  </w:style>
  <w:style w:type="character" w:customStyle="1" w:styleId="PiedepginaCar">
    <w:name w:val="Pie de página Car"/>
    <w:basedOn w:val="Fuentedeprrafopredeter"/>
    <w:link w:val="Piedepgina"/>
    <w:uiPriority w:val="99"/>
    <w:rsid w:val="00E7763B"/>
  </w:style>
  <w:style w:type="paragraph" w:customStyle="1" w:styleId="Default">
    <w:name w:val="Default"/>
    <w:rsid w:val="009A02B6"/>
    <w:pPr>
      <w:autoSpaceDE w:val="0"/>
      <w:autoSpaceDN w:val="0"/>
      <w:adjustRightInd w:val="0"/>
    </w:pPr>
    <w:rPr>
      <w:rFonts w:ascii="Calibri" w:hAnsi="Calibri" w:cs="Calibri"/>
      <w:color w:val="000000"/>
      <w:sz w:val="24"/>
      <w:szCs w:val="24"/>
    </w:rPr>
  </w:style>
  <w:style w:type="paragraph" w:styleId="TtuloTDC">
    <w:name w:val="TOC Heading"/>
    <w:basedOn w:val="Ttulo1"/>
    <w:next w:val="Normal"/>
    <w:uiPriority w:val="39"/>
    <w:unhideWhenUsed/>
    <w:qFormat/>
    <w:rsid w:val="006F375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6F375E"/>
    <w:pPr>
      <w:spacing w:after="100"/>
    </w:pPr>
  </w:style>
  <w:style w:type="paragraph" w:styleId="TDC2">
    <w:name w:val="toc 2"/>
    <w:basedOn w:val="Normal"/>
    <w:next w:val="Normal"/>
    <w:autoRedefine/>
    <w:uiPriority w:val="39"/>
    <w:unhideWhenUsed/>
    <w:rsid w:val="006F375E"/>
    <w:pPr>
      <w:spacing w:after="100"/>
      <w:ind w:left="220"/>
    </w:pPr>
  </w:style>
  <w:style w:type="paragraph" w:customStyle="1" w:styleId="udes1">
    <w:name w:val="udes1"/>
    <w:basedOn w:val="Encabezado"/>
    <w:link w:val="udes1Car"/>
    <w:qFormat/>
    <w:rsid w:val="00602121"/>
    <w:pPr>
      <w:numPr>
        <w:ilvl w:val="1"/>
        <w:numId w:val="5"/>
      </w:numPr>
      <w:tabs>
        <w:tab w:val="clear" w:pos="4419"/>
        <w:tab w:val="clear" w:pos="8838"/>
      </w:tabs>
      <w:jc w:val="both"/>
    </w:pPr>
    <w:rPr>
      <w:rFonts w:eastAsia="Times New Roman"/>
      <w:b/>
      <w:bCs/>
      <w:szCs w:val="24"/>
      <w:lang w:val="es-ES" w:eastAsia="es-ES"/>
    </w:rPr>
  </w:style>
  <w:style w:type="character" w:customStyle="1" w:styleId="udes1Car">
    <w:name w:val="udes1 Car"/>
    <w:basedOn w:val="EncabezadoCar"/>
    <w:link w:val="udes1"/>
    <w:rsid w:val="00602121"/>
    <w:rPr>
      <w:rFonts w:eastAsia="Times New Roman"/>
      <w:b/>
      <w:bCs/>
      <w:szCs w:val="24"/>
      <w:lang w:val="es-ES" w:eastAsia="es-ES"/>
    </w:rPr>
  </w:style>
  <w:style w:type="paragraph" w:customStyle="1" w:styleId="font-claude-response-body">
    <w:name w:val="font-claude-response-body"/>
    <w:basedOn w:val="Normal"/>
    <w:rsid w:val="00602121"/>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602121"/>
    <w:rPr>
      <w:b/>
      <w:bCs/>
    </w:rPr>
  </w:style>
  <w:style w:type="character" w:customStyle="1" w:styleId="PrrafodelistaCar">
    <w:name w:val="Párrafo de lista Car"/>
    <w:link w:val="Prrafodelista"/>
    <w:uiPriority w:val="34"/>
    <w:locked/>
    <w:rsid w:val="004442A1"/>
  </w:style>
  <w:style w:type="paragraph" w:styleId="Subttulo">
    <w:name w:val="Subtitle"/>
    <w:basedOn w:val="Normal"/>
    <w:next w:val="Normal"/>
    <w:link w:val="SubttuloCar"/>
    <w:uiPriority w:val="11"/>
    <w:qFormat/>
    <w:rsid w:val="004442A1"/>
    <w:pPr>
      <w:numPr>
        <w:ilvl w:val="1"/>
      </w:numPr>
      <w:spacing w:after="160" w:line="276" w:lineRule="auto"/>
    </w:pPr>
    <w:rPr>
      <w:rFonts w:asciiTheme="minorHAnsi" w:eastAsiaTheme="minorEastAsia" w:hAnsiTheme="minorHAnsi" w:cstheme="minorBidi"/>
      <w:color w:val="5A5A5A" w:themeColor="text1" w:themeTint="A5"/>
      <w:spacing w:val="15"/>
      <w:lang w:eastAsia="en-US"/>
    </w:rPr>
  </w:style>
  <w:style w:type="character" w:customStyle="1" w:styleId="SubttuloCar">
    <w:name w:val="Subtítulo Car"/>
    <w:basedOn w:val="Fuentedeprrafopredeter"/>
    <w:link w:val="Subttulo"/>
    <w:uiPriority w:val="11"/>
    <w:rsid w:val="004442A1"/>
    <w:rPr>
      <w:rFonts w:asciiTheme="minorHAnsi" w:eastAsiaTheme="minorEastAsia" w:hAnsiTheme="minorHAnsi" w:cstheme="minorBidi"/>
      <w:color w:val="5A5A5A" w:themeColor="text1" w:themeTint="A5"/>
      <w:spacing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5B9E480AA05948AFD83CF26FEBCAA6" ma:contentTypeVersion="19" ma:contentTypeDescription="Create a new document." ma:contentTypeScope="" ma:versionID="237acc711edd077642effc6a4e83fe00">
  <xsd:schema xmlns:xsd="http://www.w3.org/2001/XMLSchema" xmlns:xs="http://www.w3.org/2001/XMLSchema" xmlns:p="http://schemas.microsoft.com/office/2006/metadata/properties" xmlns:ns3="49cbd420-0488-4157-ad85-5cc0030ee0ac" xmlns:ns4="c3419bc3-b4fd-470a-8406-a5fc8682fdf5" targetNamespace="http://schemas.microsoft.com/office/2006/metadata/properties" ma:root="true" ma:fieldsID="031f758bca081c3c7cde375fa50f4c5c" ns3:_="" ns4:_="">
    <xsd:import namespace="49cbd420-0488-4157-ad85-5cc0030ee0ac"/>
    <xsd:import namespace="c3419bc3-b4fd-470a-8406-a5fc8682fd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bd420-0488-4157-ad85-5cc0030ee0a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419bc3-b4fd-470a-8406-a5fc8682fd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3419bc3-b4fd-470a-8406-a5fc8682fd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DB747-051B-4F58-B9F3-449330FC61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bd420-0488-4157-ad85-5cc0030ee0ac"/>
    <ds:schemaRef ds:uri="c3419bc3-b4fd-470a-8406-a5fc8682f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B15168-CF95-4E10-9B16-ED44BFA7D499}">
  <ds:schemaRefs>
    <ds:schemaRef ds:uri="http://schemas.microsoft.com/sharepoint/v3/contenttype/forms"/>
  </ds:schemaRefs>
</ds:datastoreItem>
</file>

<file path=customXml/itemProps3.xml><?xml version="1.0" encoding="utf-8"?>
<ds:datastoreItem xmlns:ds="http://schemas.openxmlformats.org/officeDocument/2006/customXml" ds:itemID="{0A0B3C26-F3EC-49AF-8455-6AD849E5111D}">
  <ds:schemaRefs>
    <ds:schemaRef ds:uri="http://schemas.microsoft.com/office/2006/metadata/properties"/>
    <ds:schemaRef ds:uri="http://schemas.microsoft.com/office/infopath/2007/PartnerControls"/>
    <ds:schemaRef ds:uri="c3419bc3-b4fd-470a-8406-a5fc8682fdf5"/>
  </ds:schemaRefs>
</ds:datastoreItem>
</file>

<file path=customXml/itemProps4.xml><?xml version="1.0" encoding="utf-8"?>
<ds:datastoreItem xmlns:ds="http://schemas.openxmlformats.org/officeDocument/2006/customXml" ds:itemID="{51439D85-0E59-4421-BF09-DAF51A378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2968</Words>
  <Characters>17723</Characters>
  <Application>Microsoft Office Word</Application>
  <DocSecurity>0</DocSecurity>
  <Lines>449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AMCP</dc:creator>
  <cp:lastModifiedBy>Miguel Perez</cp:lastModifiedBy>
  <cp:revision>3</cp:revision>
  <cp:lastPrinted>2026-03-27T18:25:00Z</cp:lastPrinted>
  <dcterms:created xsi:type="dcterms:W3CDTF">2026-04-13T21:57:00Z</dcterms:created>
  <dcterms:modified xsi:type="dcterms:W3CDTF">2026-04-13T21:57:00Z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0x0101004D5B9E480AA05948AFD83CF26FEBCAA6</vt:lpwstr>
  </property>
</Properties>
</file>