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40"/>
        <w:jc w:val="center"/>
      </w:pPr>
      <w:r>
        <w:rPr>
          <w:b/>
          <w:i w:val="0"/>
          <w:color w:val="061E46"/>
          <w:sz w:val="32"/>
        </w:rPr>
        <w:t>UNIVERSIDAD DE SANTANDER</w:t>
      </w:r>
    </w:p>
    <w:p>
      <w:pPr>
        <w:spacing w:after="40"/>
        <w:jc w:val="center"/>
      </w:pPr>
      <w:r>
        <w:rPr>
          <w:b/>
          <w:i w:val="0"/>
          <w:color w:val="0A2D63"/>
          <w:sz w:val="40"/>
        </w:rPr>
        <w:t>INFORME DE GESTIÓN INSTITUCIONAL 2026</w:t>
      </w:r>
    </w:p>
    <w:p>
      <w:pPr>
        <w:spacing w:after="360"/>
        <w:jc w:val="center"/>
      </w:pPr>
      <w:r>
        <w:rPr>
          <w:b/>
          <w:i w:val="0"/>
          <w:color w:val="0096A5"/>
          <w:sz w:val="26"/>
        </w:rPr>
        <w:t>Plantilla · Rectoría General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fill="0A2D63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6236"/>
            <w:shd w:val="clear" w:fill="0A2D63"/>
          </w:tcPr>
          <w:p>
            <w:r/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Unidad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Rectoría General UDES (nivel institucional)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Campus / Nivel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[Bucaramanga · Cúcuta · Valledupar · Institucional]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Periodo reportado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Enero – diciembre de 2026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Presentado por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[Gestor de la unidad — AUTOMÁTICO: organigrama del portal]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Fecha de radicación</w:t>
            </w:r>
          </w:p>
        </w:tc>
        <w:tc>
          <w:tcPr>
            <w:tcW w:type="dxa" w:w="6236"/>
          </w:tcPr>
          <w:p>
            <w:r/>
            <w:r>
              <w:rPr>
                <w:color w:val="0096A5"/>
                <w:sz w:val="19"/>
              </w:rPr>
              <w:t>[AUTOMÁTICO: fecha de envío en el portal]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120"/>
        <w:pBdr>
          <w:bottom w:val="single" w:sz="8" w:space="4" w:color="2166D6"/>
        </w:pBdr>
      </w:pPr>
      <w:r>
        <w:rPr>
          <w:b/>
          <w:color w:val="0A2D63"/>
          <w:sz w:val="30"/>
        </w:rPr>
        <w:t>Cómo se llena esta plantilla</w:t>
      </w:r>
    </w:p>
    <w:p>
      <w:pPr>
        <w:spacing w:after="120"/>
      </w:pPr>
      <w:r>
        <w:rPr>
          <w:b/>
          <w:i w:val="0"/>
        </w:rPr>
        <w:t>Cada sección distingue de dónde viene la información:</w:t>
      </w:r>
    </w:p>
    <w:p>
      <w:pPr>
        <w:pStyle w:val="ListBullet"/>
      </w:pPr>
      <w:r>
        <w:rPr>
          <w:b/>
        </w:rPr>
        <w:t xml:space="preserve">AUTOMÁTICO (azul-verde) — </w:t>
      </w:r>
      <w:r>
        <w:t>lo trae el portal ya calculado: pilares y líneas de acción del PDI, indicadores de la unidad y cifras de «UDES en Cifras». El encargado la revisa y no la edita.</w:t>
      </w:r>
    </w:p>
    <w:p>
      <w:pPr>
        <w:pStyle w:val="ListBullet"/>
      </w:pPr>
      <w:r>
        <w:rPr>
          <w:b/>
        </w:rPr>
        <w:t xml:space="preserve">APORTE (azul oscuro) — </w:t>
      </w:r>
      <w:r>
        <w:t>la escribe el encargado de reportar: narrativa, logros, retos, evidencias y anexos.</w:t>
      </w:r>
    </w:p>
    <w:p>
      <w:pPr>
        <w:spacing w:after="120"/>
      </w:pPr>
      <w:r>
        <w:rPr>
          <w:b w:val="0"/>
          <w:i w:val="0"/>
        </w:rPr>
      </w:r>
    </w:p>
    <w:p>
      <w:pPr>
        <w:spacing w:before="200" w:after="120"/>
      </w:pPr>
      <w:r>
        <w:rPr>
          <w:b/>
          <w:color w:val="061E46"/>
          <w:sz w:val="25"/>
        </w:rPr>
        <w:t>Conexiones con la Plataforma de Planeación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  <w:shd w:val="clear" w:fill="0A2D63"/>
          </w:tcPr>
          <w:p>
            <w:r/>
            <w:r>
              <w:rPr>
                <w:b/>
                <w:color w:val="FFFFFF"/>
                <w:sz w:val="19"/>
              </w:rPr>
              <w:t>Conexión</w:t>
            </w:r>
          </w:p>
        </w:tc>
        <w:tc>
          <w:tcPr>
            <w:tcW w:type="dxa" w:w="4309"/>
            <w:shd w:val="clear" w:fill="0A2D63"/>
          </w:tcPr>
          <w:p>
            <w:r/>
            <w:r>
              <w:rPr>
                <w:b/>
                <w:color w:val="FFFFFF"/>
                <w:sz w:val="19"/>
              </w:rPr>
              <w:t>Qué trae el portal</w:t>
            </w:r>
          </w:p>
        </w:tc>
        <w:tc>
          <w:tcPr>
            <w:tcW w:type="dxa" w:w="2948"/>
            <w:shd w:val="clear" w:fill="0A2D63"/>
          </w:tcPr>
          <w:p>
            <w:r/>
            <w:r>
              <w:rPr>
                <w:b/>
                <w:color w:val="FFFFFF"/>
                <w:sz w:val="19"/>
              </w:rPr>
              <w:t>Dónde vive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1 · PDI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  <w:t>Pilares estratégicos y líneas de acción en los que trabaja la unidad, con sus proyectos y avance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Portal de implementación (pilares, líneas de acción, proyectos)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2 · Indicadores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  <w:t>Serie por campus y unidad del catálogo de indicadores (últimos dos años, cumplimiento de meta)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Tablero de indicadores (v_indicators, v_campus_indicators)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3 · UDES en Cifras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  <w:t>Cifras oficiales del periodo: matrícula, deserción, evaluación profesoral, Saber PRO/TyT, investigación, convenios, rankings, financieras (según la unidad)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UDES en Cifras (od_indicators / od_values, por campus y periodo)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</w:r>
    </w:p>
    <w:p>
      <w:pPr>
        <w:spacing w:after="200"/>
      </w:pPr>
      <w:r>
        <w:rPr>
          <w:i/>
          <w:color w:val="5B6B80"/>
          <w:sz w:val="18"/>
        </w:rPr>
        <w:t>Las cifras automáticas se guardan como copia del valor al momento de llenar (foto del periodo): el informe queda estable aunque los datos del portal se actualicen después.</w:t>
      </w:r>
    </w:p>
    <w:p>
      <w:r>
        <w:br w:type="page"/>
      </w:r>
    </w:p>
    <w:p>
      <w:pPr>
        <w:spacing w:before="280" w:after="120"/>
        <w:pBdr>
          <w:bottom w:val="single" w:sz="8" w:space="4" w:color="2166D6"/>
        </w:pBdr>
      </w:pPr>
      <w:r>
        <w:rPr>
          <w:b/>
          <w:color w:val="0A2D63"/>
          <w:sz w:val="30"/>
        </w:rPr>
        <w:t>Presentación del Rector</w:t>
      </w:r>
    </w:p>
    <w:p>
      <w:pPr>
        <w:spacing w:after="200"/>
      </w:pPr>
      <w:r>
        <w:rPr>
          <w:i/>
          <w:color w:val="5B6B80"/>
          <w:sz w:val="18"/>
        </w:rPr>
        <w:t>Mensaje del Rector General: sentido del año, mandatos institucionales y resultados más relevantes (1 página).</w:t>
      </w:r>
    </w:p>
    <w:p>
      <w:pPr>
        <w:spacing w:after="80"/>
        <w:ind w:left="170"/>
      </w:pPr>
      <w:r>
        <w:rPr>
          <w:b/>
          <w:color w:val="0A2D63"/>
          <w:sz w:val="19"/>
        </w:rPr>
        <w:t xml:space="preserve">APORTE · </w:t>
      </w:r>
      <w:r>
        <w:rPr>
          <w:i/>
          <w:color w:val="5B6B80"/>
          <w:sz w:val="19"/>
        </w:rPr>
        <w:t>Escrito por el Rector General. Pilo puede proponer un borrador a partir de la síntesis de los informes de campus y vicerrectorías.</w:t>
      </w:r>
    </w:p>
    <w:p>
      <w:pPr>
        <w:spacing w:before="280" w:after="120"/>
        <w:pBdr>
          <w:bottom w:val="single" w:sz="8" w:space="4" w:color="2166D6"/>
        </w:pBdr>
      </w:pPr>
      <w:r>
        <w:rPr>
          <w:b/>
          <w:color w:val="0A2D63"/>
          <w:sz w:val="30"/>
        </w:rPr>
        <w:t>Introducción</w:t>
      </w:r>
    </w:p>
    <w:p>
      <w:pPr>
        <w:spacing w:after="80"/>
        <w:ind w:left="170"/>
      </w:pPr>
      <w:r>
        <w:rPr>
          <w:b/>
          <w:color w:val="0A2D63"/>
          <w:sz w:val="19"/>
        </w:rPr>
        <w:t xml:space="preserve">APORTE · </w:t>
      </w:r>
      <w:r>
        <w:rPr>
          <w:i/>
          <w:color w:val="5B6B80"/>
          <w:sz w:val="19"/>
        </w:rPr>
        <w:t>Propósito del informe, periodo cubierto y organización del documento (2 a 3 párrafos).</w:t>
      </w:r>
    </w:p>
    <w:p>
      <w:pPr>
        <w:spacing w:before="280" w:after="120"/>
        <w:pBdr>
          <w:bottom w:val="single" w:sz="8" w:space="4" w:color="2166D6"/>
        </w:pBdr>
      </w:pPr>
      <w:r>
        <w:rPr>
          <w:b/>
          <w:color w:val="0A2D63"/>
          <w:sz w:val="30"/>
        </w:rPr>
        <w:t>I. INVESTIGACIÓN</w:t>
      </w:r>
    </w:p>
    <w:p>
      <w:pPr>
        <w:spacing w:after="80"/>
        <w:ind w:left="170"/>
      </w:pPr>
      <w:r>
        <w:rPr>
          <w:b/>
          <w:color w:val="0096A5"/>
          <w:sz w:val="19"/>
        </w:rPr>
        <w:t xml:space="preserve">AUTOMÁTICO · </w:t>
      </w:r>
      <w:r>
        <w:rPr>
          <w:color w:val="0096A5"/>
          <w:sz w:val="19"/>
        </w:rPr>
        <w:t>Tabla de «Resultados por pilares institucionales»: un bloque por pilar del PDI con los logros y cifras de la función.</w:t>
      </w:r>
    </w:p>
    <w:p>
      <w:pPr>
        <w:spacing w:after="80"/>
        <w:ind w:left="170"/>
      </w:pPr>
      <w:r>
        <w:rPr>
          <w:b/>
          <w:color w:val="0096A5"/>
          <w:sz w:val="19"/>
        </w:rPr>
        <w:t xml:space="preserve">AUTOMÁTICO · </w:t>
      </w:r>
      <w:r>
        <w:rPr>
          <w:color w:val="0096A5"/>
          <w:sz w:val="19"/>
        </w:rPr>
        <w:t>Resultados por pilar institucional: grupos categorizados, publicaciones Scopus, proyectos, financiación (UDES en Cifras + indicadores de investigación).</w:t>
      </w:r>
    </w:p>
    <w:p>
      <w:pPr>
        <w:spacing w:after="80"/>
        <w:ind w:left="170"/>
      </w:pPr>
      <w:r>
        <w:rPr>
          <w:b/>
          <w:color w:val="0096A5"/>
          <w:sz w:val="19"/>
        </w:rPr>
        <w:t xml:space="preserve">AUTOMÁTICO · </w:t>
      </w:r>
      <w:r>
        <w:rPr>
          <w:color w:val="0096A5"/>
          <w:sz w:val="19"/>
        </w:rPr>
        <w:t>Aportes aprobados de la Vicerrectoría/Consejo de Investigaciones y de los campus.</w:t>
      </w:r>
    </w:p>
    <w:p>
      <w:pPr>
        <w:spacing w:before="200" w:after="120"/>
      </w:pPr>
      <w:r>
        <w:rPr>
          <w:b/>
          <w:color w:val="061E46"/>
          <w:sz w:val="25"/>
        </w:rPr>
        <w:t>Retos y Oportunidades</w:t>
      </w:r>
    </w:p>
    <w:p>
      <w:pPr>
        <w:spacing w:after="80"/>
        <w:ind w:left="170"/>
      </w:pPr>
      <w:r>
        <w:rPr>
          <w:b/>
          <w:color w:val="0A2D63"/>
          <w:sz w:val="19"/>
        </w:rPr>
        <w:t xml:space="preserve">APORTE · </w:t>
      </w:r>
      <w:r>
        <w:rPr>
          <w:i/>
          <w:color w:val="5B6B80"/>
          <w:sz w:val="19"/>
        </w:rPr>
        <w:t>Retos identificados, aprendizajes y oportunidades estratégicas de la función (listas).</w:t>
      </w:r>
    </w:p>
    <w:p>
      <w:pPr>
        <w:spacing w:after="80"/>
        <w:ind w:left="170"/>
      </w:pPr>
      <w:r>
        <w:rPr>
          <w:b/>
          <w:color w:val="0096A5"/>
          <w:sz w:val="19"/>
        </w:rPr>
        <w:t xml:space="preserve">AUTOMÁTICO · </w:t>
      </w:r>
      <w:r>
        <w:rPr>
          <w:color w:val="0096A5"/>
          <w:sz w:val="19"/>
        </w:rPr>
        <w:t>Infografía de cifras de la función (la genera el portal desde UDES en Cifras, como hoy en los boletines).</w:t>
      </w:r>
    </w:p>
    <w:p>
      <w:pPr>
        <w:spacing w:before="280" w:after="120"/>
        <w:pBdr>
          <w:bottom w:val="single" w:sz="8" w:space="4" w:color="2166D6"/>
        </w:pBdr>
      </w:pPr>
      <w:r>
        <w:rPr>
          <w:b/>
          <w:color w:val="0A2D63"/>
          <w:sz w:val="30"/>
        </w:rPr>
        <w:t>II. EXTENSIÓN</w:t>
      </w:r>
    </w:p>
    <w:p>
      <w:pPr>
        <w:spacing w:after="80"/>
        <w:ind w:left="170"/>
      </w:pPr>
      <w:r>
        <w:rPr>
          <w:b/>
          <w:color w:val="0096A5"/>
          <w:sz w:val="19"/>
        </w:rPr>
        <w:t xml:space="preserve">AUTOMÁTICO · </w:t>
      </w:r>
      <w:r>
        <w:rPr>
          <w:color w:val="0096A5"/>
          <w:sz w:val="19"/>
        </w:rPr>
        <w:t>Tabla de «Resultados por pilares institucionales»: un bloque por pilar del PDI con los logros y cifras de la función.</w:t>
      </w:r>
    </w:p>
    <w:p>
      <w:pPr>
        <w:spacing w:after="80"/>
        <w:ind w:left="170"/>
      </w:pPr>
      <w:r>
        <w:rPr>
          <w:b/>
          <w:color w:val="0096A5"/>
          <w:sz w:val="19"/>
        </w:rPr>
        <w:t xml:space="preserve">AUTOMÁTICO · </w:t>
      </w:r>
      <w:r>
        <w:rPr>
          <w:color w:val="0096A5"/>
          <w:sz w:val="19"/>
        </w:rPr>
        <w:t>Resultados por pilar: convenios, emprendimientos, proyectos con el territorio y movilidades.</w:t>
      </w:r>
    </w:p>
    <w:p>
      <w:pPr>
        <w:spacing w:after="80"/>
        <w:ind w:left="170"/>
      </w:pPr>
      <w:r>
        <w:rPr>
          <w:b/>
          <w:color w:val="0096A5"/>
          <w:sz w:val="19"/>
        </w:rPr>
        <w:t xml:space="preserve">AUTOMÁTICO · </w:t>
      </w:r>
      <w:r>
        <w:rPr>
          <w:color w:val="0096A5"/>
          <w:sz w:val="19"/>
        </w:rPr>
        <w:t>Aportes aprobados de la Vicerrectoría de Extensión y de los campus.</w:t>
      </w:r>
    </w:p>
    <w:p>
      <w:pPr>
        <w:spacing w:before="200" w:after="120"/>
      </w:pPr>
      <w:r>
        <w:rPr>
          <w:b/>
          <w:color w:val="061E46"/>
          <w:sz w:val="25"/>
        </w:rPr>
        <w:t>Retos y Oportunidades</w:t>
      </w:r>
    </w:p>
    <w:p>
      <w:pPr>
        <w:spacing w:after="80"/>
        <w:ind w:left="170"/>
      </w:pPr>
      <w:r>
        <w:rPr>
          <w:b/>
          <w:color w:val="0A2D63"/>
          <w:sz w:val="19"/>
        </w:rPr>
        <w:t xml:space="preserve">APORTE · </w:t>
      </w:r>
      <w:r>
        <w:rPr>
          <w:i/>
          <w:color w:val="5B6B80"/>
          <w:sz w:val="19"/>
        </w:rPr>
        <w:t>Retos identificados, aprendizajes y oportunidades estratégicas de la función (listas).</w:t>
      </w:r>
    </w:p>
    <w:p>
      <w:pPr>
        <w:spacing w:after="80"/>
        <w:ind w:left="170"/>
      </w:pPr>
      <w:r>
        <w:rPr>
          <w:b/>
          <w:color w:val="0096A5"/>
          <w:sz w:val="19"/>
        </w:rPr>
        <w:t xml:space="preserve">AUTOMÁTICO · </w:t>
      </w:r>
      <w:r>
        <w:rPr>
          <w:color w:val="0096A5"/>
          <w:sz w:val="19"/>
        </w:rPr>
        <w:t>Infografía de cifras de la función (la genera el portal desde UDES en Cifras, como hoy en los boletines).</w:t>
      </w:r>
    </w:p>
    <w:p>
      <w:pPr>
        <w:spacing w:before="280" w:after="120"/>
        <w:pBdr>
          <w:bottom w:val="single" w:sz="8" w:space="4" w:color="2166D6"/>
        </w:pBdr>
      </w:pPr>
      <w:r>
        <w:rPr>
          <w:b/>
          <w:color w:val="0A2D63"/>
          <w:sz w:val="30"/>
        </w:rPr>
        <w:t>III. ENSEÑANZA</w:t>
      </w:r>
    </w:p>
    <w:p>
      <w:pPr>
        <w:spacing w:after="80"/>
        <w:ind w:left="170"/>
      </w:pPr>
      <w:r>
        <w:rPr>
          <w:b/>
          <w:color w:val="0096A5"/>
          <w:sz w:val="19"/>
        </w:rPr>
        <w:t xml:space="preserve">AUTOMÁTICO · </w:t>
      </w:r>
      <w:r>
        <w:rPr>
          <w:color w:val="0096A5"/>
          <w:sz w:val="19"/>
        </w:rPr>
        <w:t>Tabla de «Resultados por pilares institucionales»: un bloque por pilar del PDI con los logros y cifras de la función.</w:t>
      </w:r>
    </w:p>
    <w:p>
      <w:pPr>
        <w:spacing w:after="80"/>
        <w:ind w:left="170"/>
      </w:pPr>
      <w:r>
        <w:rPr>
          <w:b/>
          <w:color w:val="0096A5"/>
          <w:sz w:val="19"/>
        </w:rPr>
        <w:t xml:space="preserve">AUTOMÁTICO · </w:t>
      </w:r>
      <w:r>
        <w:rPr>
          <w:color w:val="0096A5"/>
          <w:sz w:val="19"/>
        </w:rPr>
        <w:t>Resultados por pilar: matrícula, deserción, evaluación profesoral, Saber PRO/TyT, nueva oferta y registros calificados.</w:t>
      </w:r>
    </w:p>
    <w:p>
      <w:pPr>
        <w:spacing w:after="80"/>
        <w:ind w:left="170"/>
      </w:pPr>
      <w:r>
        <w:rPr>
          <w:b/>
          <w:color w:val="0096A5"/>
          <w:sz w:val="19"/>
        </w:rPr>
        <w:t xml:space="preserve">AUTOMÁTICO · </w:t>
      </w:r>
      <w:r>
        <w:rPr>
          <w:color w:val="0096A5"/>
          <w:sz w:val="19"/>
        </w:rPr>
        <w:t>Aportes aprobados de la Vicerrectoría de Enseñanza y de los campus.</w:t>
      </w:r>
    </w:p>
    <w:p>
      <w:pPr>
        <w:spacing w:before="200" w:after="120"/>
      </w:pPr>
      <w:r>
        <w:rPr>
          <w:b/>
          <w:color w:val="061E46"/>
          <w:sz w:val="25"/>
        </w:rPr>
        <w:t>Retos y Oportunidades</w:t>
      </w:r>
    </w:p>
    <w:p>
      <w:pPr>
        <w:spacing w:after="80"/>
        <w:ind w:left="170"/>
      </w:pPr>
      <w:r>
        <w:rPr>
          <w:b/>
          <w:color w:val="0A2D63"/>
          <w:sz w:val="19"/>
        </w:rPr>
        <w:t xml:space="preserve">APORTE · </w:t>
      </w:r>
      <w:r>
        <w:rPr>
          <w:i/>
          <w:color w:val="5B6B80"/>
          <w:sz w:val="19"/>
        </w:rPr>
        <w:t>Retos identificados, aprendizajes y oportunidades estratégicas de la función (listas).</w:t>
      </w:r>
    </w:p>
    <w:p>
      <w:pPr>
        <w:spacing w:after="80"/>
        <w:ind w:left="170"/>
      </w:pPr>
      <w:r>
        <w:rPr>
          <w:b/>
          <w:color w:val="0096A5"/>
          <w:sz w:val="19"/>
        </w:rPr>
        <w:t xml:space="preserve">AUTOMÁTICO · </w:t>
      </w:r>
      <w:r>
        <w:rPr>
          <w:color w:val="0096A5"/>
          <w:sz w:val="19"/>
        </w:rPr>
        <w:t>Infografía de cifras de la función (la genera el portal desde UDES en Cifras, como hoy en los boletines).</w:t>
      </w:r>
    </w:p>
    <w:p>
      <w:pPr>
        <w:spacing w:before="280" w:after="120"/>
        <w:pBdr>
          <w:bottom w:val="single" w:sz="8" w:space="4" w:color="2166D6"/>
        </w:pBdr>
      </w:pPr>
      <w:r>
        <w:rPr>
          <w:b/>
          <w:color w:val="0A2D63"/>
          <w:sz w:val="30"/>
        </w:rPr>
        <w:t>IV. GESTIÓN ADMINISTRATIVA Y FINANCIERA</w:t>
      </w:r>
    </w:p>
    <w:p>
      <w:pPr>
        <w:spacing w:after="80"/>
        <w:ind w:left="170"/>
      </w:pPr>
      <w:r>
        <w:rPr>
          <w:b/>
          <w:color w:val="0096A5"/>
          <w:sz w:val="19"/>
        </w:rPr>
        <w:t xml:space="preserve">AUTOMÁTICO · </w:t>
      </w:r>
      <w:r>
        <w:rPr>
          <w:color w:val="0096A5"/>
          <w:sz w:val="19"/>
        </w:rPr>
        <w:t>Tabla de «Resultados por pilares institucionales»: un bloque por pilar del PDI con los logros y cifras de la función.</w:t>
      </w:r>
    </w:p>
    <w:p>
      <w:pPr>
        <w:spacing w:after="80"/>
        <w:ind w:left="170"/>
      </w:pPr>
      <w:r>
        <w:rPr>
          <w:b/>
          <w:color w:val="0096A5"/>
          <w:sz w:val="19"/>
        </w:rPr>
        <w:t xml:space="preserve">AUTOMÁTICO · </w:t>
      </w:r>
      <w:r>
        <w:rPr>
          <w:color w:val="0096A5"/>
          <w:sz w:val="19"/>
        </w:rPr>
        <w:t>Cifras NIIF del ejercicio: activos, pasivos, ingresos, excedentes e índice de endeudamiento (UDES en Cifras).</w:t>
      </w:r>
    </w:p>
    <w:p>
      <w:pPr>
        <w:spacing w:after="80"/>
        <w:ind w:left="170"/>
      </w:pPr>
      <w:r>
        <w:rPr>
          <w:b/>
          <w:color w:val="0096A5"/>
          <w:sz w:val="19"/>
        </w:rPr>
        <w:t xml:space="preserve">AUTOMÁTICO · </w:t>
      </w:r>
      <w:r>
        <w:rPr>
          <w:color w:val="0096A5"/>
          <w:sz w:val="19"/>
        </w:rPr>
        <w:t>Aportes aprobados de la VAF.</w:t>
      </w:r>
    </w:p>
    <w:p>
      <w:pPr>
        <w:spacing w:before="200" w:after="120"/>
      </w:pPr>
      <w:r>
        <w:rPr>
          <w:b/>
          <w:color w:val="061E46"/>
          <w:sz w:val="25"/>
        </w:rPr>
        <w:t>Retos y Oportunidades</w:t>
      </w:r>
    </w:p>
    <w:p>
      <w:pPr>
        <w:spacing w:after="80"/>
        <w:ind w:left="170"/>
      </w:pPr>
      <w:r>
        <w:rPr>
          <w:b/>
          <w:color w:val="0A2D63"/>
          <w:sz w:val="19"/>
        </w:rPr>
        <w:t xml:space="preserve">APORTE · </w:t>
      </w:r>
      <w:r>
        <w:rPr>
          <w:i/>
          <w:color w:val="5B6B80"/>
          <w:sz w:val="19"/>
        </w:rPr>
        <w:t>Retos identificados, aprendizajes y oportunidades estratégicas de la función (listas).</w:t>
      </w:r>
    </w:p>
    <w:p>
      <w:pPr>
        <w:spacing w:after="80"/>
        <w:ind w:left="170"/>
      </w:pPr>
      <w:r>
        <w:rPr>
          <w:b/>
          <w:color w:val="0096A5"/>
          <w:sz w:val="19"/>
        </w:rPr>
        <w:t xml:space="preserve">AUTOMÁTICO · </w:t>
      </w:r>
      <w:r>
        <w:rPr>
          <w:color w:val="0096A5"/>
          <w:sz w:val="19"/>
        </w:rPr>
        <w:t>Infografía de cifras de la función (la genera el portal desde UDES en Cifras, como hoy en los boletines).</w:t>
      </w:r>
    </w:p>
    <w:p>
      <w:pPr>
        <w:spacing w:before="280" w:after="120"/>
        <w:pBdr>
          <w:bottom w:val="single" w:sz="8" w:space="4" w:color="2166D6"/>
        </w:pBdr>
      </w:pPr>
      <w:r>
        <w:rPr>
          <w:b/>
          <w:color w:val="0A2D63"/>
          <w:sz w:val="30"/>
        </w:rPr>
        <w:t>V. Síntesis y Proyecciones Institucionales 2027</w:t>
      </w:r>
    </w:p>
    <w:p>
      <w:pPr>
        <w:spacing w:after="80"/>
        <w:ind w:left="170"/>
      </w:pPr>
      <w:r>
        <w:rPr>
          <w:b/>
          <w:color w:val="0096A5"/>
          <w:sz w:val="19"/>
        </w:rPr>
        <w:t xml:space="preserve">AUTOMÁTICO · </w:t>
      </w:r>
      <w:r>
        <w:rPr>
          <w:color w:val="0096A5"/>
          <w:sz w:val="19"/>
        </w:rPr>
        <w:t>Semáforo institucional: cumplimiento de los indicadores del PDI por pilar, consolidado de todos los campus y unidades.</w:t>
      </w:r>
    </w:p>
    <w:p>
      <w:pPr>
        <w:spacing w:after="80"/>
        <w:ind w:left="170"/>
      </w:pPr>
      <w:r>
        <w:rPr>
          <w:b/>
          <w:color w:val="0A2D63"/>
          <w:sz w:val="19"/>
        </w:rPr>
        <w:t xml:space="preserve">APORTE · </w:t>
      </w:r>
      <w:r>
        <w:rPr>
          <w:i/>
          <w:color w:val="5B6B80"/>
          <w:sz w:val="19"/>
        </w:rPr>
        <w:t>Balance del año y proyecciones estratégicas del próximo periodo (1 a 2 páginas).</w:t>
      </w:r>
    </w:p>
    <w:p>
      <w:pPr>
        <w:spacing w:before="280" w:after="120"/>
        <w:pBdr>
          <w:bottom w:val="single" w:sz="8" w:space="4" w:color="2166D6"/>
        </w:pBdr>
      </w:pPr>
      <w:r>
        <w:rPr>
          <w:b/>
          <w:color w:val="0A2D63"/>
          <w:sz w:val="30"/>
        </w:rPr>
        <w:t>Anexos</w:t>
      </w:r>
    </w:p>
    <w:p>
      <w:pPr>
        <w:spacing w:after="80"/>
        <w:ind w:left="170"/>
      </w:pPr>
      <w:r>
        <w:rPr>
          <w:b/>
          <w:color w:val="0096A5"/>
          <w:sz w:val="19"/>
        </w:rPr>
        <w:t xml:space="preserve">AUTOMÁTICO · </w:t>
      </w:r>
      <w:r>
        <w:rPr>
          <w:color w:val="0096A5"/>
          <w:sz w:val="19"/>
        </w:rPr>
        <w:t>Lista de anexos cargados y enlaces a los informes aprobados de campus, vicerrectorías, oficinas y decanaturas.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