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07/07/2020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2"/>
          <w:ilvl w:val="0"/>
        </w:numPr>
      </w:pPr>
      <w:r>
        <w:t xml:space="preserve">De-identified personal IDs used to link contact tracing database to confirmed cases</w:t>
      </w:r>
    </w:p>
    <w:p>
      <w:pPr>
        <w:pStyle w:val="Compact"/>
        <w:numPr>
          <w:numId w:val="1002"/>
          <w:ilvl w:val="0"/>
        </w:numPr>
      </w:pPr>
      <w:r>
        <w:t xml:space="preserve">Data cut off date?</w:t>
      </w:r>
    </w:p>
    <w:p>
      <w:pPr>
        <w:pStyle w:val="Compact"/>
        <w:numPr>
          <w:numId w:val="1002"/>
          <w:ilvl w:val="0"/>
        </w:numPr>
      </w:pPr>
      <w:r>
        <w:t xml:space="preserve">Analysis conducted in R</w:t>
      </w:r>
    </w:p>
    <w:p>
      <w:pPr>
        <w:pStyle w:val="Compact"/>
        <w:numPr>
          <w:numId w:val="1002"/>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FirstParagraph"/>
      </w:pPr>
      <w:r>
        <w:t xml:space="preserve">After data cleaning how many data points do we have</w:t>
      </w:r>
    </w:p>
    <w:p>
      <w:pPr>
        <w:pStyle w:val="BodyText"/>
      </w:pPr>
      <w:r>
        <w:t xml:space="preserve">Table of demographics of those infected (treated database)</w:t>
      </w:r>
    </w:p>
    <w:p>
      <w:pPr>
        <w:pStyle w:val="BodyText"/>
      </w:pPr>
      <w:r>
        <w:t xml:space="preserve">Table of demographics of those tested (tested database)</w:t>
      </w:r>
    </w:p>
    <w:p>
      <w:pPr>
        <w:pStyle w:val="BodyText"/>
      </w:pPr>
      <w:r>
        <w:t xml:space="preserve">Table of symptom and death rates by age and gender (treated database)</w:t>
      </w:r>
    </w:p>
    <w:p>
      <w:pPr>
        <w:pStyle w:val="BodyText"/>
      </w:pPr>
      <w:r>
        <w:t xml:space="preserve">Rates of transmission by type of contact, gender and age of index case</w:t>
      </w:r>
    </w:p>
    <w:p>
      <w:pPr>
        <w:pStyle w:val="BodyText"/>
      </w:pPr>
      <w:r>
        <w:t xml:space="preserve">Contact by age groups and type of contact</w:t>
      </w:r>
    </w:p>
    <w:p>
      <w:pPr>
        <w:pStyle w:val="BodyText"/>
      </w:pPr>
      <w:r>
        <w:t xml:space="preserve">Transmission by age groups and type of contact</w:t>
      </w:r>
    </w:p>
    <w:p>
      <w:pPr>
        <w:pStyle w:val="BodyText"/>
      </w:pPr>
      <w:r>
        <w:t xml:space="preserve">Total number of secondary cases per primary case</w:t>
      </w:r>
    </w:p>
    <w:p>
      <w:pPr>
        <w:pStyle w:val="Heading2"/>
      </w:pPr>
      <w:bookmarkStart w:id="25" w:name="discussion"/>
      <w:r>
        <w:t xml:space="preserve">Discussion</w:t>
      </w:r>
      <w:bookmarkEnd w:id="25"/>
    </w:p>
    <w:p>
      <w:pPr>
        <w:pStyle w:val="Compact"/>
        <w:numPr>
          <w:numId w:val="1003"/>
          <w:ilvl w:val="0"/>
        </w:numPr>
      </w:pPr>
      <w:r>
        <w:t xml:space="preserve">main outcomes</w:t>
      </w:r>
    </w:p>
    <w:p>
      <w:pPr>
        <w:pStyle w:val="Compact"/>
        <w:numPr>
          <w:numId w:val="1003"/>
          <w:ilvl w:val="0"/>
        </w:numPr>
      </w:pPr>
      <w:r>
        <w:t xml:space="preserve">limitations of study</w:t>
      </w:r>
    </w:p>
    <w:p>
      <w:pPr>
        <w:pStyle w:val="Compact"/>
        <w:numPr>
          <w:numId w:val="1003"/>
          <w:ilvl w:val="0"/>
        </w:numPr>
      </w:pPr>
      <w:r>
        <w:t xml:space="preserve">comparison to other contact tracing studies (Bi, etc.)</w:t>
      </w:r>
    </w:p>
    <w:p>
      <w:pPr>
        <w:pStyle w:val="Compact"/>
        <w:numPr>
          <w:numId w:val="1003"/>
          <w:ilvl w:val="0"/>
        </w:numPr>
      </w:pPr>
      <w:r>
        <w:t xml:space="preserve">comparison to other countries in the region</w:t>
      </w:r>
    </w:p>
    <w:p>
      <w:pPr>
        <w:pStyle w:val="Compact"/>
        <w:numPr>
          <w:numId w:val="1003"/>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2020-07-07T12:06:32Z</dcterms:created>
  <dcterms:modified xsi:type="dcterms:W3CDTF">2020-07-07T12:06:32Z</dcterms:modified>
</cp:coreProperties>
</file>