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40"/>
            </w:pPr>
            <w:r>
              <w:rPr>
                <w:b w:val="0"/>
                <w:sz w:val="18"/>
              </w:rPr>
              <w:t>EV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
        <w:br w:type="page"/>
      </w:r>
    </w:p>
    <w:p>
      <w:pPr>
        <w:jc w:val="center"/>
      </w:pPr>
      <w:r>
        <w:rPr>
          <w:b/>
          <w:sz w:val="28"/>
        </w:rPr>
        <w:t>Completed Empathy Map – EV Market Analyst</w:t>
      </w:r>
    </w:p>
    <w:p>
      <w:pPr>
        <w:spacing w:after="160"/>
      </w:pPr>
      <w:r>
        <w:rPr>
          <w:i/>
          <w:sz w:val="18"/>
        </w:rPr>
        <w:t>Persona is an illustrative project persona based on the dashboard's intended users; it is not based on a recorded customer interview.</w:t>
      </w:r>
    </w:p>
    <w:tbl>
      <w:tblPr>
        <w:tblStyle w:val="TableGrid"/>
        <w:tblW w:type="auto" w:w="0"/>
        <w:tblLook w:firstColumn="1" w:firstRow="1" w:lastColumn="0" w:lastRow="0" w:noHBand="0" w:noVBand="1" w:val="04A0"/>
      </w:tblPr>
      <w:tblGrid>
        <w:gridCol w:w="4513"/>
        <w:gridCol w:w="4513"/>
      </w:tblGrid>
      <w:tr>
        <w:tc>
          <w:tcPr>
            <w:tcW w:type="dxa" w:w="4513"/>
            <w:vAlign w:val="center"/>
          </w:tcPr>
          <w:p>
            <w:pPr>
              <w:spacing w:after="40"/>
            </w:pPr>
            <w:r>
              <w:rPr>
                <w:b/>
                <w:sz w:val="20"/>
              </w:rPr>
              <w:t>PERSONA</w:t>
            </w:r>
          </w:p>
        </w:tc>
        <w:tc>
          <w:tcPr>
            <w:tcW w:type="dxa" w:w="4513"/>
            <w:vAlign w:val="center"/>
          </w:tcPr>
          <w:p>
            <w:pPr>
              <w:spacing w:after="40"/>
            </w:pPr>
            <w:r>
              <w:rPr>
                <w:b w:val="0"/>
                <w:sz w:val="20"/>
              </w:rPr>
              <w:t>EV market analyst / business strategy decision-maker</w:t>
            </w:r>
          </w:p>
        </w:tc>
      </w:tr>
      <w:tr>
        <w:tc>
          <w:tcPr>
            <w:tcW w:type="dxa" w:w="4513"/>
            <w:vAlign w:val="center"/>
          </w:tcPr>
          <w:p>
            <w:pPr>
              <w:spacing w:after="40"/>
            </w:pPr>
            <w:r>
              <w:rPr>
                <w:b/>
                <w:sz w:val="18"/>
              </w:rPr>
              <w:t>SAYS</w:t>
              <w:br/>
              <w:t>“I need a clear view of EV sales growth.”</w:t>
              <w:br/>
              <w:t>“Which countries and manufacturers are leading?”</w:t>
              <w:br/>
              <w:t>“Which battery technology and vehicle category show higher demand?”</w:t>
            </w:r>
          </w:p>
        </w:tc>
        <w:tc>
          <w:tcPr>
            <w:tcW w:type="dxa" w:w="4513"/>
            <w:vAlign w:val="center"/>
          </w:tcPr>
          <w:p>
            <w:pPr>
              <w:spacing w:after="40"/>
            </w:pPr>
            <w:r>
              <w:rPr>
                <w:b/>
                <w:sz w:val="18"/>
              </w:rPr>
              <w:t>THINKS</w:t>
              <w:br/>
              <w:t>“Are sales growing consistently?”</w:t>
              <w:br/>
              <w:t>“Where are the strongest market opportunities?”</w:t>
              <w:br/>
              <w:t>“Do range, price and customer ratings differ across manufacturers?”</w:t>
            </w:r>
          </w:p>
        </w:tc>
      </w:tr>
      <w:tr>
        <w:tc>
          <w:tcPr>
            <w:tcW w:type="dxa" w:w="4513"/>
            <w:vAlign w:val="center"/>
          </w:tcPr>
          <w:p>
            <w:pPr>
              <w:spacing w:after="40"/>
            </w:pPr>
            <w:r>
              <w:rPr>
                <w:b/>
                <w:sz w:val="18"/>
              </w:rPr>
              <w:t>DOES</w:t>
              <w:br/>
              <w:t>Reviews sales and market reports.</w:t>
              <w:br/>
              <w:t>Compares countries, manufacturers and vehicle segments.</w:t>
              <w:br/>
              <w:t>Uses charts and KPIs to support planning.</w:t>
            </w:r>
          </w:p>
        </w:tc>
        <w:tc>
          <w:tcPr>
            <w:tcW w:type="dxa" w:w="4513"/>
            <w:vAlign w:val="center"/>
          </w:tcPr>
          <w:p>
            <w:pPr>
              <w:spacing w:after="40"/>
            </w:pPr>
            <w:r>
              <w:rPr>
                <w:b/>
                <w:sz w:val="18"/>
              </w:rPr>
              <w:t>FEELS</w:t>
              <w:br/>
              <w:t>Wants confidence in market decisions.</w:t>
              <w:br/>
              <w:t>May feel overwhelmed by large raw datasets.</w:t>
              <w:br/>
              <w:t>Values clear, comparable and easy-to-understand insights.</w:t>
            </w:r>
          </w:p>
        </w:tc>
      </w:tr>
    </w:tbl>
    <w:p>
      <w:r>
        <w:t>Dashboard connection: The KPI cards summarize overall performance; the year-wise trend, country map, category/battery/manufacturer comparisons, and price-rating view help the analyst explore the questions above.</w:t>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