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before="20"/>
            </w:pPr>
            <w:r>
              <w:rPr>
                <w:b w:val="0"/>
                <w:sz w:val="18"/>
              </w:rPr>
              <w:t>EV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0D">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5078232226188"/>
        <w:gridCol w:w="2015.5503705737033"/>
        <w:gridCol w:w="3357.970903101839"/>
        <w:gridCol w:w="3357.970903101839"/>
        <w:tblGridChange w:id="0">
          <w:tblGrid>
            <w:gridCol w:w="592.5078232226188"/>
            <w:gridCol w:w="2015.5503705737033"/>
            <w:gridCol w:w="3357.970903101839"/>
            <w:gridCol w:w="3357.970903101839"/>
          </w:tblGrid>
        </w:tblGridChange>
      </w:tblGrid>
      <w:tr>
        <w:trPr>
          <w:cantSplit w:val="0"/>
          <w:trHeight w:val="333"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Functional Requirement (Epic)</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Sub Requirement (Story / Sub-Task)</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Priority (High/Medium/Low)</w:t>
            </w:r>
          </w:p>
        </w:tc>
      </w:tr>
      <w:tr>
        <w:trPr>
          <w:cantSplit w:val="0"/>
          <w:trHeight w:val="489" w:hRule="atLeast"/>
          <w:tblHeader w:val="0"/>
        </w:trPr>
        <w:tc>
          <w:tcPr>
            <w:vAlign w:val="center"/>
          </w:tcPr>
          <w:p>
            <w:pPr>
              <w:spacing w:after="40" w:before="20"/>
            </w:pPr>
            <w:r>
              <w:rPr>
                <w:b w:val="0"/>
                <w:sz w:val="14"/>
              </w:rPr>
              <w:t>1</w:t>
            </w:r>
          </w:p>
        </w:tc>
        <w:tc>
          <w:tcPr>
            <w:vAlign w:val="center"/>
          </w:tcPr>
          <w:p>
            <w:pPr>
              <w:spacing w:after="40" w:before="20"/>
            </w:pPr>
            <w:r>
              <w:rPr>
                <w:b w:val="0"/>
                <w:sz w:val="14"/>
              </w:rPr>
              <w:t>Data Access &amp; Integration</w:t>
            </w:r>
          </w:p>
        </w:tc>
        <w:tc>
          <w:tcPr>
            <w:vAlign w:val="center"/>
          </w:tcPr>
          <w:p>
            <w:pPr>
              <w:spacing w:after="40" w:before="20"/>
            </w:pPr>
            <w:r>
              <w:rPr>
                <w:b w:val="0"/>
                <w:sz w:val="14"/>
              </w:rPr>
              <w:t>Connect the EV market CSV source data to Tableau. Use the available fields such as year, country, manufacturer, vehicle category, battery technology, annual sales units, driving range, customer rating and price, subject to the final dataset schema.</w:t>
            </w:r>
          </w:p>
        </w:tc>
        <w:tc>
          <w:tcPr>
            <w:vAlign w:val="center"/>
          </w:tcPr>
          <w:p>
            <w:pPr>
              <w:spacing w:after="40" w:before="20"/>
            </w:pPr>
            <w:r>
              <w:rPr>
                <w:b w:val="0"/>
                <w:sz w:val="14"/>
              </w:rPr>
              <w:t>High</w:t>
            </w:r>
          </w:p>
        </w:tc>
      </w:tr>
      <w:tr>
        <w:trPr>
          <w:cantSplit w:val="0"/>
          <w:trHeight w:val="489" w:hRule="atLeast"/>
          <w:tblHeader w:val="0"/>
        </w:trPr>
        <w:tc>
          <w:tcPr>
            <w:vAlign w:val="center"/>
          </w:tcPr>
          <w:p>
            <w:pPr>
              <w:spacing w:after="40" w:before="20"/>
            </w:pPr>
            <w:r>
              <w:rPr>
                <w:b w:val="0"/>
                <w:sz w:val="14"/>
              </w:rPr>
              <w:t>2</w:t>
            </w:r>
          </w:p>
        </w:tc>
        <w:tc>
          <w:tcPr>
            <w:vAlign w:val="center"/>
          </w:tcPr>
          <w:p>
            <w:pPr>
              <w:spacing w:after="40" w:before="20"/>
            </w:pPr>
            <w:r>
              <w:rPr>
                <w:b w:val="0"/>
                <w:sz w:val="14"/>
              </w:rPr>
              <w:t>Data Processing</w:t>
            </w:r>
          </w:p>
        </w:tc>
        <w:tc>
          <w:tcPr>
            <w:vAlign w:val="center"/>
          </w:tcPr>
          <w:p>
            <w:pPr>
              <w:spacing w:after="40" w:before="20"/>
            </w:pPr>
            <w:r>
              <w:rPr>
                <w:b w:val="0"/>
                <w:sz w:val="14"/>
              </w:rPr>
              <w:t>Check field data types; handle missing or inconsistent values where present; use appropriate dimensions and measures; aggregate sales and calculate average range, average rating and average price for analysis.</w:t>
            </w:r>
          </w:p>
        </w:tc>
        <w:tc>
          <w:tcPr>
            <w:vAlign w:val="center"/>
          </w:tcPr>
          <w:p>
            <w:pPr>
              <w:spacing w:after="40" w:before="20"/>
            </w:pPr>
            <w:r>
              <w:rPr>
                <w:b w:val="0"/>
                <w:sz w:val="14"/>
              </w:rPr>
              <w:t>High</w:t>
            </w:r>
          </w:p>
        </w:tc>
      </w:tr>
      <w:tr>
        <w:trPr>
          <w:cantSplit w:val="0"/>
          <w:trHeight w:val="760.6640625" w:hRule="atLeast"/>
          <w:tblHeader w:val="0"/>
        </w:trPr>
        <w:tc>
          <w:tcPr>
            <w:vAlign w:val="center"/>
          </w:tcPr>
          <w:p>
            <w:pPr>
              <w:spacing w:after="40" w:before="20"/>
            </w:pPr>
            <w:r>
              <w:rPr>
                <w:b w:val="0"/>
                <w:sz w:val="14"/>
              </w:rPr>
              <w:t>3</w:t>
            </w:r>
          </w:p>
        </w:tc>
        <w:tc>
          <w:tcPr>
            <w:vAlign w:val="center"/>
          </w:tcPr>
          <w:p>
            <w:pPr>
              <w:spacing w:after="40" w:before="20"/>
            </w:pPr>
            <w:r>
              <w:rPr>
                <w:b w:val="0"/>
                <w:sz w:val="14"/>
              </w:rPr>
              <w:t>Business Analysis</w:t>
            </w:r>
          </w:p>
        </w:tc>
        <w:tc>
          <w:tcPr>
            <w:vAlign w:val="center"/>
          </w:tcPr>
          <w:p>
            <w:pPr>
              <w:spacing w:after="40" w:before="20"/>
            </w:pPr>
            <w:r>
              <w:rPr>
                <w:b w:val="0"/>
                <w:sz w:val="14"/>
              </w:rPr>
              <w:t>Calculate total annual sales, average driving range, average customer rating and average vehicle price. Compare sales by year, country, manufacturer, vehicle category and battery technology; examine price versus rating.</w:t>
            </w:r>
          </w:p>
        </w:tc>
        <w:tc>
          <w:tcPr>
            <w:vAlign w:val="center"/>
          </w:tcPr>
          <w:p>
            <w:pPr>
              <w:spacing w:after="40" w:before="20"/>
            </w:pPr>
            <w:r>
              <w:rPr>
                <w:b w:val="0"/>
                <w:sz w:val="14"/>
              </w:rPr>
              <w:t>High</w:t>
            </w:r>
          </w:p>
        </w:tc>
      </w:tr>
      <w:tr>
        <w:trPr>
          <w:cantSplit w:val="0"/>
          <w:trHeight w:val="489" w:hRule="atLeast"/>
          <w:tblHeader w:val="0"/>
        </w:trPr>
        <w:tc>
          <w:tcPr>
            <w:vAlign w:val="center"/>
          </w:tcPr>
          <w:p>
            <w:pPr>
              <w:spacing w:after="40" w:before="20"/>
            </w:pPr>
            <w:r>
              <w:rPr>
                <w:b w:val="0"/>
                <w:sz w:val="14"/>
              </w:rPr>
              <w:t>4</w:t>
            </w:r>
          </w:p>
        </w:tc>
        <w:tc>
          <w:tcPr>
            <w:vAlign w:val="center"/>
          </w:tcPr>
          <w:p>
            <w:pPr>
              <w:spacing w:after="40" w:before="20"/>
            </w:pPr>
            <w:r>
              <w:rPr>
                <w:b w:val="0"/>
                <w:sz w:val="14"/>
              </w:rPr>
              <w:t>Business Insights &amp; Analytical Outputs</w:t>
            </w:r>
          </w:p>
        </w:tc>
        <w:tc>
          <w:tcPr>
            <w:vAlign w:val="center"/>
          </w:tcPr>
          <w:p>
            <w:pPr>
              <w:spacing w:after="40" w:before="20"/>
            </w:pPr>
            <w:r>
              <w:rPr>
                <w:b w:val="0"/>
                <w:sz w:val="14"/>
              </w:rPr>
              <w:t>Provide a Tableau dashboard and Story with KPI cards, year-wise sales trend, country sales chart/map, vehicle-category sales, battery-technology sales, manufacturer contribution and customer-rating versus price scatter plot.</w:t>
            </w:r>
          </w:p>
        </w:tc>
        <w:tc>
          <w:tcPr>
            <w:vAlign w:val="center"/>
          </w:tcPr>
          <w:p>
            <w:pPr>
              <w:spacing w:after="40" w:before="20"/>
            </w:pPr>
            <w:r>
              <w:rPr>
                <w:b w:val="0"/>
                <w:sz w:val="14"/>
              </w:rPr>
              <w:t>High</w:t>
            </w:r>
          </w:p>
        </w:tc>
      </w:tr>
      <w:tr>
        <w:trPr>
          <w:cantSplit w:val="0"/>
          <w:trHeight w:val="489" w:hRule="atLeast"/>
          <w:tblHeader w:val="0"/>
        </w:trPr>
        <w:tc>
          <w:tcPr>
            <w:vAlign w:val="center"/>
          </w:tcPr>
          <w:p>
            <w:pPr>
              <w:spacing w:after="40" w:before="20"/>
            </w:pPr>
            <w:r>
              <w:rPr>
                <w:b w:val="0"/>
                <w:sz w:val="14"/>
              </w:rPr>
              <w:t>5</w:t>
            </w:r>
          </w:p>
        </w:tc>
        <w:tc>
          <w:tcPr>
            <w:vAlign w:val="center"/>
          </w:tcPr>
          <w:p>
            <w:pPr>
              <w:spacing w:after="40" w:before="20"/>
            </w:pPr>
            <w:r>
              <w:rPr>
                <w:b w:val="0"/>
                <w:sz w:val="14"/>
              </w:rPr>
              <w:t>User Interaction &amp; Analysis</w:t>
            </w:r>
          </w:p>
        </w:tc>
        <w:tc>
          <w:tcPr>
            <w:vAlign w:val="center"/>
          </w:tcPr>
          <w:p>
            <w:pPr>
              <w:spacing w:after="40" w:before="20"/>
            </w:pPr>
            <w:r>
              <w:rPr>
                <w:b w:val="0"/>
                <w:sz w:val="14"/>
              </w:rPr>
              <w:t>Allow users to explore the dashboard using available filters such as Year and interact with charts to compare market segments and inspect marks/tooltips. Do not promise filters that are not present in the published dashboard.</w:t>
            </w:r>
          </w:p>
        </w:tc>
        <w:tc>
          <w:tcPr>
            <w:vAlign w:val="center"/>
          </w:tcPr>
          <w:p>
            <w:pPr>
              <w:spacing w:after="40" w:before="20"/>
            </w:pPr>
            <w:r>
              <w:rPr>
                <w:b w:val="0"/>
                <w:sz w:val="14"/>
              </w:rPr>
              <w:t>Medium</w:t>
            </w:r>
          </w:p>
        </w:tc>
      </w:tr>
      <w:tr>
        <w:trPr>
          <w:cantSplit w:val="0"/>
          <w:trHeight w:val="489" w:hRule="atLeast"/>
          <w:tblHeader w:val="0"/>
        </w:trPr>
        <w:tc>
          <w:tcPr>
            <w:vAlign w:val="center"/>
          </w:tcPr>
          <w:p>
            <w:pPr>
              <w:spacing w:after="40" w:before="20"/>
            </w:pPr>
            <w:r>
              <w:rPr>
                <w:b w:val="0"/>
                <w:sz w:val="14"/>
              </w:rPr>
              <w:t>6</w:t>
            </w:r>
          </w:p>
        </w:tc>
        <w:tc>
          <w:tcPr>
            <w:vAlign w:val="center"/>
          </w:tcPr>
          <w:p>
            <w:pPr>
              <w:spacing w:after="40" w:before="20"/>
            </w:pPr>
            <w:r>
              <w:rPr>
                <w:b w:val="0"/>
                <w:sz w:val="14"/>
              </w:rPr>
              <w:t>Data Update &amp; Reporting</w:t>
            </w:r>
          </w:p>
        </w:tc>
        <w:tc>
          <w:tcPr>
            <w:vAlign w:val="center"/>
          </w:tcPr>
          <w:p>
            <w:pPr>
              <w:spacing w:after="40" w:before="20"/>
            </w:pPr>
            <w:r>
              <w:rPr>
                <w:b w:val="0"/>
                <w:sz w:val="14"/>
              </w:rPr>
              <w:t>Refresh or reconnect the source CSV files when updated data is provided, then refresh the Tableau workbook and republish the dashboard. Provide the Tableau Public link and supporting project documentation.</w:t>
            </w:r>
          </w:p>
        </w:tc>
        <w:tc>
          <w:tcPr>
            <w:vAlign w:val="center"/>
          </w:tcPr>
          <w:p>
            <w:pPr>
              <w:spacing w:after="40" w:before="20"/>
            </w:pPr>
            <w:r>
              <w:rPr>
                <w:b w:val="0"/>
                <w:sz w:val="14"/>
              </w:rPr>
              <w:t>Medium</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C">
      <w:pPr>
        <w:spacing w:after="0" w:lineRule="auto"/>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Non-Functional Requirement</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Description</w:t>
            </w:r>
          </w:p>
        </w:tc>
      </w:tr>
      <w:tr>
        <w:trPr>
          <w:cantSplit w:val="0"/>
          <w:trHeight w:val="489" w:hRule="atLeast"/>
          <w:tblHeader w:val="0"/>
        </w:trPr>
        <w:tc>
          <w:tcPr>
            <w:vAlign w:val="center"/>
          </w:tcPr>
          <w:p>
            <w:pPr>
              <w:spacing w:after="40" w:before="20"/>
            </w:pPr>
            <w:r>
              <w:rPr>
                <w:b w:val="0"/>
                <w:sz w:val="14"/>
              </w:rPr>
              <w:t>NFR-1</w:t>
            </w:r>
          </w:p>
        </w:tc>
        <w:tc>
          <w:tcPr>
            <w:vAlign w:val="center"/>
          </w:tcPr>
          <w:p>
            <w:pPr>
              <w:spacing w:after="40" w:before="20"/>
            </w:pPr>
            <w:r>
              <w:rPr>
                <w:b w:val="0"/>
                <w:sz w:val="14"/>
              </w:rPr>
              <w:t>Usability</w:t>
            </w:r>
          </w:p>
        </w:tc>
        <w:tc>
          <w:tcPr>
            <w:vAlign w:val="center"/>
          </w:tcPr>
          <w:p>
            <w:pPr>
              <w:spacing w:after="40" w:before="20"/>
            </w:pPr>
            <w:r>
              <w:rPr>
                <w:b w:val="0"/>
                <w:sz w:val="14"/>
              </w:rPr>
              <w:t>Dashboard should use clear titles, readable labels, consistent units and an understandable Story sequence so users can interpret the visuals easily.</w:t>
            </w:r>
          </w:p>
        </w:tc>
      </w:tr>
      <w:tr>
        <w:trPr>
          <w:cantSplit w:val="0"/>
          <w:trHeight w:val="489" w:hRule="atLeast"/>
          <w:tblHeader w:val="0"/>
        </w:trPr>
        <w:tc>
          <w:tcPr>
            <w:vAlign w:val="center"/>
          </w:tcPr>
          <w:p>
            <w:pPr>
              <w:spacing w:after="40" w:before="20"/>
            </w:pPr>
            <w:r>
              <w:rPr>
                <w:b w:val="0"/>
                <w:sz w:val="14"/>
              </w:rPr>
              <w:t>NFR-2</w:t>
            </w:r>
          </w:p>
        </w:tc>
        <w:tc>
          <w:tcPr>
            <w:vAlign w:val="center"/>
          </w:tcPr>
          <w:p>
            <w:pPr>
              <w:spacing w:after="40" w:before="20"/>
            </w:pPr>
            <w:r>
              <w:rPr>
                <w:b w:val="0"/>
                <w:sz w:val="14"/>
              </w:rPr>
              <w:t>Security</w:t>
            </w:r>
          </w:p>
        </w:tc>
        <w:tc>
          <w:tcPr>
            <w:vAlign w:val="center"/>
          </w:tcPr>
          <w:p>
            <w:pPr>
              <w:spacing w:after="40" w:before="20"/>
            </w:pPr>
            <w:r>
              <w:rPr>
                <w:b w:val="0"/>
                <w:sz w:val="14"/>
              </w:rPr>
              <w:t>Only use non-confidential project data in the publicly shared Tableau workbook. Do not include personal or sensitive information in the dashboard or repository.</w:t>
            </w:r>
          </w:p>
        </w:tc>
      </w:tr>
      <w:tr>
        <w:trPr>
          <w:cantSplit w:val="0"/>
          <w:trHeight w:val="470" w:hRule="atLeast"/>
          <w:tblHeader w:val="0"/>
        </w:trPr>
        <w:tc>
          <w:tcPr>
            <w:vAlign w:val="center"/>
          </w:tcPr>
          <w:p>
            <w:pPr>
              <w:spacing w:after="40" w:before="20"/>
            </w:pPr>
            <w:r>
              <w:rPr>
                <w:b w:val="0"/>
                <w:sz w:val="14"/>
              </w:rPr>
              <w:t>NFR-3</w:t>
            </w:r>
          </w:p>
        </w:tc>
        <w:tc>
          <w:tcPr>
            <w:vAlign w:val="center"/>
          </w:tcPr>
          <w:p>
            <w:pPr>
              <w:spacing w:after="40" w:before="20"/>
            </w:pPr>
            <w:r>
              <w:rPr>
                <w:b w:val="0"/>
                <w:sz w:val="14"/>
              </w:rPr>
              <w:t>Reliability</w:t>
            </w:r>
          </w:p>
        </w:tc>
        <w:tc>
          <w:tcPr>
            <w:vAlign w:val="center"/>
          </w:tcPr>
          <w:p>
            <w:pPr>
              <w:spacing w:after="40" w:before="20"/>
            </w:pPr>
            <w:r>
              <w:rPr>
                <w:b w:val="0"/>
                <w:sz w:val="14"/>
              </w:rPr>
              <w:t>Visualisations and KPI values should remain consistent with the connected dataset and aggregation logic. Validate totals and averages before publishing.</w:t>
            </w:r>
          </w:p>
        </w:tc>
      </w:tr>
      <w:tr>
        <w:trPr>
          <w:cantSplit w:val="0"/>
          <w:trHeight w:val="489" w:hRule="atLeast"/>
          <w:tblHeader w:val="0"/>
        </w:trPr>
        <w:tc>
          <w:tcPr>
            <w:vAlign w:val="center"/>
          </w:tcPr>
          <w:p>
            <w:pPr>
              <w:spacing w:after="40" w:before="20"/>
            </w:pPr>
            <w:r>
              <w:rPr>
                <w:b w:val="0"/>
                <w:sz w:val="14"/>
              </w:rPr>
              <w:t>NFR-4</w:t>
            </w:r>
          </w:p>
        </w:tc>
        <w:tc>
          <w:tcPr>
            <w:vAlign w:val="center"/>
          </w:tcPr>
          <w:p>
            <w:pPr>
              <w:spacing w:after="40" w:before="20"/>
            </w:pPr>
            <w:r>
              <w:rPr>
                <w:b w:val="0"/>
                <w:sz w:val="14"/>
              </w:rPr>
              <w:t>Performance</w:t>
            </w:r>
          </w:p>
        </w:tc>
        <w:tc>
          <w:tcPr>
            <w:vAlign w:val="center"/>
          </w:tcPr>
          <w:p>
            <w:pPr>
              <w:spacing w:after="40" w:before="20"/>
            </w:pPr>
            <w:r>
              <w:rPr>
                <w:b w:val="0"/>
                <w:sz w:val="14"/>
              </w:rPr>
              <w:t>Use appropriate aggregations and avoid unnecessary marks or clutter so dashboard views remain responsive.</w:t>
            </w:r>
          </w:p>
        </w:tc>
      </w:tr>
      <w:tr>
        <w:trPr>
          <w:cantSplit w:val="0"/>
          <w:trHeight w:val="489" w:hRule="atLeast"/>
          <w:tblHeader w:val="0"/>
        </w:trPr>
        <w:tc>
          <w:tcPr>
            <w:vAlign w:val="center"/>
          </w:tcPr>
          <w:p>
            <w:pPr>
              <w:spacing w:after="40" w:before="20"/>
            </w:pPr>
            <w:r>
              <w:rPr>
                <w:b w:val="0"/>
                <w:sz w:val="14"/>
              </w:rPr>
              <w:t>NFR-5</w:t>
            </w:r>
          </w:p>
        </w:tc>
        <w:tc>
          <w:tcPr>
            <w:vAlign w:val="center"/>
          </w:tcPr>
          <w:p>
            <w:pPr>
              <w:spacing w:after="40" w:before="20"/>
            </w:pPr>
            <w:r>
              <w:rPr>
                <w:b w:val="0"/>
                <w:sz w:val="14"/>
              </w:rPr>
              <w:t>Availability</w:t>
            </w:r>
          </w:p>
        </w:tc>
        <w:tc>
          <w:tcPr>
            <w:vAlign w:val="center"/>
          </w:tcPr>
          <w:p>
            <w:pPr>
              <w:spacing w:after="40" w:before="20"/>
            </w:pPr>
            <w:r>
              <w:rPr>
                <w:b w:val="0"/>
                <w:sz w:val="14"/>
              </w:rPr>
              <w:t>The published Tableau Public dashboard should be accessible through its public URL when the workbook is successfully published and the link is active.</w:t>
            </w:r>
          </w:p>
        </w:tc>
      </w:tr>
      <w:tr>
        <w:trPr>
          <w:cantSplit w:val="0"/>
          <w:trHeight w:val="489" w:hRule="atLeast"/>
          <w:tblHeader w:val="0"/>
        </w:trPr>
        <w:tc>
          <w:tcPr>
            <w:vAlign w:val="center"/>
          </w:tcPr>
          <w:p>
            <w:pPr>
              <w:spacing w:after="40" w:before="20"/>
            </w:pPr>
            <w:r>
              <w:rPr>
                <w:b w:val="0"/>
                <w:sz w:val="14"/>
              </w:rPr>
              <w:t>NFR-6</w:t>
            </w:r>
          </w:p>
        </w:tc>
        <w:tc>
          <w:tcPr>
            <w:vAlign w:val="center"/>
          </w:tcPr>
          <w:p>
            <w:pPr>
              <w:spacing w:after="40" w:before="20"/>
            </w:pPr>
            <w:r>
              <w:rPr>
                <w:b w:val="0"/>
                <w:sz w:val="14"/>
              </w:rPr>
              <w:t>Scalability</w:t>
            </w:r>
          </w:p>
        </w:tc>
        <w:tc>
          <w:tcPr>
            <w:vAlign w:val="center"/>
          </w:tcPr>
          <w:p>
            <w:pPr>
              <w:spacing w:after="40" w:before="20"/>
            </w:pPr>
            <w:r>
              <w:rPr>
                <w:b w:val="0"/>
                <w:sz w:val="14"/>
              </w:rPr>
              <w:t>The workbook design should allow additional years, countries, manufacturers or records to be included when the source data is extended, provided the schema remains compatible.</w:t>
            </w:r>
          </w:p>
        </w:tc>
      </w:tr>
    </w:tbl>
    <w:p w:rsidR="00000000" w:rsidDel="00000000" w:rsidP="00000000" w:rsidRDefault="00000000" w:rsidRPr="00000000" w14:paraId="00000042">
      <w:pPr>
        <w:rPr/>
      </w:pP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6534150</wp:posOffset>
          </wp:positionH>
          <wp:positionV relativeFrom="page">
            <wp:posOffset>173355</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