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  <w:sz w:val="22"/>
        </w:rPr>
        <w:t>Proposed Architecture Diagram – EV Market Performance &amp; Insights</w:t>
      </w:r>
    </w:p>
    <w:p>
      <w:r>
        <w:drawing>
          <wp:inline>
            <wp:extent cx="4206240" cy="4543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 Architecture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54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Component Description Table – Project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Component Name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Description / Role in Architecture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Technology Used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Data Source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Contains the EV market records used for analysis, including year, country, manufacturer, vehicle category, battery technology, sales, range, rating and price.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Provided EV market CSV file(s)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Data Connection &amp; Preparation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Connects the CSV source to Tableau and makes the fields available as dimensions and measures for analysis.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Tableau Public Desktop – CSV/Text File connection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Analysis &amp; KPI Calculations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Aggregates sales and calculates average driving range and customer rating; supports comparisons across years and market segments.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Tableau measures, aggregations and calculated fields where required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Visualization &amp; Dashboard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Displays KPI cards and the nine dashboard visualisations in a consolidated view with available filters.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Tableau worksheets and dashboard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Story &amp; Publishing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Presents key findings in a sequence and makes the completed analysis accessible online.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b w:val="0"/>
                <w:sz w:val="14"/>
              </w:rPr>
              <w:t>Tableau Story and Tableau Public</w:t>
            </w:r>
          </w:p>
        </w:tc>
      </w:tr>
    </w:tbl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