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pPr>
              <w:spacing w:after="40" w:before="20"/>
            </w:pPr>
            <w:r>
              <w:rPr>
                <w:b w:val="0"/>
                <w:sz w:val="16"/>
              </w:rPr>
              <w:t>31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pPr>
              <w:spacing w:after="40" w:before="20"/>
            </w:pPr>
            <w:r>
              <w:rPr>
                <w:b w:val="0"/>
                <w:sz w:val="16"/>
              </w:rPr>
              <w:t>Not applicable – 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pPr>
              <w:spacing w:after="40" w:before="20"/>
            </w:pPr>
            <w:r>
              <w:rPr>
                <w:b w:val="0"/>
                <w:sz w:val="16"/>
              </w:rPr>
              <w:t>EV Market Performance &amp; Insights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t>Clear and Intuitive Layout</w:t>
        <w:br/>
        <w:t>The dashboard uses a project title, KPI cards at the top, a year-wise trend and supporting market comparison charts. Keep chart titles and KPI labels readable.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t>Use Appropriate Visualizations</w:t>
        <w:br/>
        <w:t>A line chart shows yearly sales; bar charts compare vehicle categories, battery technologies and countries; a map shows geographic distribution; a pie chart compares manufacturers; a scatter plot compares average price and rating.</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t>Colour and Theming</w:t>
        <w:br/>
        <w:t>The supplied dashboard uses a consistent blue chart style, with distinct colours in the manufacturer pie chart and scatter plot to distinguish marks.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t>Interactive Filters and Slicers</w:t>
        <w:br/>
        <w:t>A Year filter is visible on the dashboard screenshot. Verify that it filters the intended worksheets before submission.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t>Drill-Down Capabilities</w:t>
        <w:br/>
        <w:t>No separate drill-down hierarchy is clearly evidenced in the supplied screenshot. Do not claim this feature unless configured and tested.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t>Responsive Design</w:t>
        <w:br/>
        <w:t>The dashboard is arranged for Tableau Public. Check the published view on the target screen size and adjust sizing if any charts are clipped.</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t>Custom Visuals and Icons</w:t>
        <w:br/>
        <w:t>The project uses standard Tableau charts and a geographic map. No custom icon set is evident in the screenshot.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t>Use of Infographics</w:t>
        <w:br/>
        <w:t>The KPI cards and Story captions provide a compact summary of the main market observations.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p>
    <w:p w:rsidR="00000000" w:rsidDel="00000000" w:rsidP="00000000" w:rsidRDefault="00000000" w:rsidRPr="00000000" w14:paraId="0000001B">
      <w:pPr>
        <w:spacing w:after="200" w:line="240" w:lineRule="auto"/>
        <w:rPr/>
      </w:pPr>
      <w:r/>
    </w:p>
    <w:p w:rsidR="00000000" w:rsidDel="00000000" w:rsidP="00000000" w:rsidRDefault="00000000" w:rsidRPr="00000000" w14:paraId="0000001C">
      <w:pPr>
        <w:numPr>
          <w:ilvl w:val="0"/>
          <w:numId w:val="1"/>
        </w:numPr>
        <w:spacing w:after="0" w:before="240" w:line="240" w:lineRule="auto"/>
        <w:ind w:left="720" w:hanging="360"/>
        <w:rPr>
          <w:u w:val="none"/>
        </w:rPr>
      </w:pPr>
      <w:r/>
    </w:p>
    <w:p w:rsidR="00000000" w:rsidDel="00000000" w:rsidP="00000000" w:rsidRDefault="00000000" w:rsidRPr="00000000" w14:paraId="0000001D">
      <w:pPr>
        <w:numPr>
          <w:ilvl w:val="0"/>
          <w:numId w:val="1"/>
        </w:numPr>
        <w:spacing w:after="0" w:before="0" w:line="240" w:lineRule="auto"/>
        <w:ind w:left="720" w:hanging="360"/>
        <w:rPr>
          <w:u w:val="none"/>
        </w:rPr>
      </w:pPr>
      <w:r/>
    </w:p>
    <w:p w:rsidR="00000000" w:rsidDel="00000000" w:rsidP="00000000" w:rsidRDefault="00000000" w:rsidRPr="00000000" w14:paraId="0000001E">
      <w:pPr>
        <w:numPr>
          <w:ilvl w:val="0"/>
          <w:numId w:val="1"/>
        </w:numPr>
        <w:spacing w:after="0" w:before="0" w:line="240" w:lineRule="auto"/>
        <w:ind w:left="720" w:hanging="360"/>
        <w:rPr>
          <w:u w:val="none"/>
        </w:rPr>
      </w:pPr>
      <w:r/>
    </w:p>
    <w:p w:rsidR="00000000" w:rsidDel="00000000" w:rsidP="00000000" w:rsidRDefault="00000000" w:rsidRPr="00000000" w14:paraId="0000001F">
      <w:pPr>
        <w:numPr>
          <w:ilvl w:val="0"/>
          <w:numId w:val="1"/>
        </w:numPr>
        <w:spacing w:after="0" w:before="0" w:line="240" w:lineRule="auto"/>
        <w:ind w:left="720" w:hanging="360"/>
        <w:rPr>
          <w:u w:val="none"/>
        </w:rPr>
      </w:pPr>
      <w:r/>
    </w:p>
    <w:p w:rsidR="00000000" w:rsidDel="00000000" w:rsidP="00000000" w:rsidRDefault="00000000" w:rsidRPr="00000000" w14:paraId="00000020">
      <w:pPr>
        <w:numPr>
          <w:ilvl w:val="0"/>
          <w:numId w:val="1"/>
        </w:numPr>
        <w:spacing w:after="240" w:before="0" w:line="240" w:lineRule="auto"/>
        <w:ind w:left="720" w:hanging="360"/>
        <w:rPr>
          <w:u w:val="none"/>
        </w:rPr>
      </w:p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p>
      <w:pPr>
        <w:pStyle w:val="Heading2"/>
      </w:pPr>
      <w:r>
        <w:t>Major Outcomes from the EV Dashboard</w:t>
      </w:r>
    </w:p>
    <w:p>
      <w:pPr>
        <w:ind w:left="360"/>
      </w:pPr>
      <w:r>
        <w:t>• The KPI cards display Total EV Sales of 832,000, Average Driving Range of 480.6 km and Average Rating of 4.325.</w:t>
      </w:r>
    </w:p>
    <w:p>
      <w:pPr>
        <w:ind w:left="360"/>
      </w:pPr>
      <w:r>
        <w:t>• The year-wise sales chart rises from 400,000 in 2021 to 968,000 in 2025 in the values shown.</w:t>
      </w:r>
    </w:p>
    <w:p>
      <w:pPr>
        <w:ind w:left="360"/>
      </w:pPr>
      <w:r>
        <w:t>• The vehicle-category chart shows SUV higher than Sedan in the visible comparison.</w:t>
      </w:r>
    </w:p>
    <w:p>
      <w:pPr>
        <w:ind w:left="360"/>
      </w:pPr>
      <w:r>
        <w:t>• The battery technology chart shows NMC sales higher than LFP.</w:t>
      </w:r>
    </w:p>
    <w:p>
      <w:pPr>
        <w:ind w:left="360"/>
      </w:pPr>
      <w:r>
        <w:t>• The country chart compares China, France, Germany, India, Japan, South Korea and the USA.</w:t>
      </w:r>
    </w:p>
    <w:p>
      <w:pPr>
        <w:ind w:left="360"/>
      </w:pPr>
      <w:r>
        <w:t>• The geographic map provides a spatial view of EV sales by country.</w:t>
      </w:r>
    </w:p>
    <w:p>
      <w:pPr>
        <w:ind w:left="360"/>
      </w:pPr>
      <w:r>
        <w:t>• The manufacturer pie chart compares BYD, Ford, Hyundai, Nissan, Renault, Tata Motors, Tesla and Volkswagen.</w:t>
      </w:r>
    </w:p>
    <w:p>
      <w:pPr>
        <w:ind w:left="360"/>
      </w:pPr>
      <w:r>
        <w:t>• The scatter plot compares average vehicle price with average customer rating across manufacturer marks.</w:t>
      </w:r>
    </w:p>
    <w:p>
      <w:pPr>
        <w:pStyle w:val="Heading2"/>
      </w:pPr>
      <w:r>
        <w:t>Dashboard Screenshot Evidence</w:t>
      </w:r>
    </w:p>
    <w:p>
      <w:r>
        <w:drawing>
          <wp:inline>
            <wp:extent cx="5486400" cy="4114800"/>
            <wp:docPr id="7" name="Picture 7"/>
            <wp:cNvGraphicFramePr>
              <a:graphicFrameLocks noChangeAspect="1"/>
            </wp:cNvGraphicFramePr>
            <a:graphic>
              <a:graphicData uri="http://schemas.openxmlformats.org/drawingml/2006/picture">
                <pic:pic>
                  <pic:nvPicPr>
                    <pic:cNvPr id="0" name="image-1793417274780.jpg"/>
                    <pic:cNvPicPr/>
                  </pic:nvPicPr>
                  <pic:blipFill>
                    <a:blip r:embed="rId10"/>
                    <a:stretch>
                      <a:fillRect/>
                    </a:stretch>
                  </pic:blipFill>
                  <pic:spPr>
                    <a:xfrm>
                      <a:off x="0" y="0"/>
                      <a:ext cx="5486400" cy="4114800"/>
                    </a:xfrm>
                    <a:prstGeom prst="rect"/>
                  </pic:spPr>
                </pic:pic>
              </a:graphicData>
            </a:graphic>
          </wp:inline>
        </w:drawing>
      </w:r>
    </w:p>
    <w:p>
      <w:pPr>
        <w:pStyle w:val="Heading2"/>
      </w:pPr>
      <w:r>
        <w:t>Activity 2 – Publish Dashboard on Tableau Public</w:t>
      </w:r>
    </w:p>
    <w:p>
      <w:r>
        <w:t>Published Tableau Public dashboard / Story link:</w:t>
      </w:r>
    </w:p>
    <w:p>
      <w:r>
        <w:t>https://public.tableau.com/app/profile/joha.khan/viz/EVMarketPerformanceInsights_17930988283380/Story1?publish=yes</w:t>
      </w:r>
    </w:p>
    <w:p>
      <w:r>
        <w:t>Open the link and confirm that it displays the intended published dashboard and Story before submitting.</w:t>
      </w:r>
    </w:p>
    <w:p>
      <w:r>
        <w:t>Validation note: outcomes are transcribed from the supplied screenshots. Verify the workbook's connected CSV and reconcile displayed KPIs with the source dataset.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