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32F2E21F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  <w:r w:rsidR="004566D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(yes in case &lt;50% missing)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75DE64F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ins w:id="5" w:author="Damen, J.A.A. (Anneke) [2]" w:date="2022-07-15T10:48:00Z">
              <w:r w:rsidR="001C6BBD"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del w:id="6" w:author="Damen, J.A.A. (Anneke) [2]" w:date="2022-07-15T10:48:00Z">
              <w:r w:rsidDel="001C6BBD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5A01E9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ins w:id="7" w:author="Damen, J.A.A. (Anneke) [2]" w:date="2022-07-15T10:48:00Z">
              <w:r w:rsidR="001C6BBD"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del w:id="8" w:author="Damen, J.A.A. (Anneke) [2]" w:date="2022-07-15T10:48:00Z">
              <w:r w:rsidDel="001C6BBD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6D4D4F1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WHO definition: Presence of confirmed maternal or fetal ZIKV infection AND presence of severe microcephaly </w:t>
            </w:r>
            <w:r w:rsidR="00257DEA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commentRangeStart w:id="9"/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presence of other malformations (eye, nose, ears etc.)</w:t>
            </w:r>
            <w:commentRangeEnd w:id="9"/>
            <w:r w:rsidR="001C6BBD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10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10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0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29BDD182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</w:p>
        </w:tc>
        <w:tc>
          <w:tcPr>
            <w:tcW w:w="1334" w:type="pct"/>
          </w:tcPr>
          <w:p w14:paraId="5BAE399A" w14:textId="6679DEC3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365E0935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</w:p>
        </w:tc>
        <w:tc>
          <w:tcPr>
            <w:tcW w:w="1334" w:type="pct"/>
          </w:tcPr>
          <w:p w14:paraId="72E920C9" w14:textId="1D3EBF0F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4FFD88E1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</w:p>
        </w:tc>
        <w:tc>
          <w:tcPr>
            <w:tcW w:w="1334" w:type="pct"/>
          </w:tcPr>
          <w:p w14:paraId="1711F34D" w14:textId="59D7C9FC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 DO</w:t>
            </w: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4886D16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11" w:author="Damen, J.A.A. (Anneke) [2]" w:date="2022-07-15T10:52:00Z">
              <w:r w:rsidR="001C6BBD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2"/>
            <w:commentRangeStart w:id="1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12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12"/>
            </w:r>
            <w:commentRangeEnd w:id="1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3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0D697AC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del w:id="14" w:author="Damen, J.A.A. (Anneke) [2]" w:date="2022-07-07T12:06:00Z">
              <w:r w:rsidRPr="008A48A4" w:rsidDel="00EB23F6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proofErr w:type="spellStart"/>
            <w:ins w:id="15" w:author="Damen, J.A.A. (Anneke) [2]" w:date="2022-07-07T12:06:00Z">
              <w:r w:rsidR="00EB23F6"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6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7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8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9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229564C2" w:rsidR="009D485B" w:rsidRPr="008A48A4" w:rsidRDefault="00EB23F6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ins w:id="20" w:author="Damen, J.A.A. (Anneke) [2]" w:date="2022-07-07T12:06:00Z">
              <w:r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del w:id="21" w:author="Damen, J.A.A. (Anneke) [2]" w:date="2022-07-07T12:06:00Z">
              <w:r w:rsidR="009D485B" w:rsidRPr="00D740B8" w:rsidDel="00EB23F6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r w:rsidR="009D485B" w:rsidRPr="00D740B8">
              <w:rPr>
                <w:rFonts w:asciiTheme="minorHAnsi" w:hAnsiTheme="minorHAnsi" w:cstheme="minorHAnsi"/>
                <w:sz w:val="18"/>
                <w:szCs w:val="18"/>
              </w:rPr>
              <w:t>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09E0FC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2" w:author="Damen, J.A.A. (Anneke) [2]" w:date="2022-07-15T11:05:00Z">
              <w:r w:rsidR="00370203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5C0988D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3" w:author="Damen, J.A.A. (Anneke) [2]" w:date="2022-07-15T11:12:00Z">
              <w:r w:rsidR="00C03BB0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EF74B8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4" w:author="Damen, J.A.A. (Anneke) [2]" w:date="2022-07-15T11:13:00Z">
              <w:r w:rsidR="00C03BB0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67E574A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5" w:author="Damen, J.A.A. (Anneke) [2]" w:date="2022-07-15T11:31:00Z">
              <w:r w:rsidR="00FD28C1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7F7FC8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6" w:author="Damen, J.A.A. (Anneke) [2]" w:date="2022-07-15T11:31:00Z">
              <w:r w:rsidR="00FD28C1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397C600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ins w:id="27" w:author="Damen, J.A.A. (Anneke) [2]" w:date="2022-07-15T11:31:00Z">
              <w:r w:rsidR="00FD28C1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16ED9290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9D485B" w:rsidRPr="008A48A4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socioeconomic status identified as low,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medium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A376A6B" w:rsidR="009D485B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New dataset also includes med</w:t>
            </w: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lastRenderedPageBreak/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</w:t>
            </w:r>
            <w:proofErr w:type="spellEnd"/>
            <w:del w:id="28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4F1F242F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</w:t>
            </w:r>
            <w:proofErr w:type="spellEnd"/>
            <w:del w:id="29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BD16A42" w:rsidR="00243032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</w:t>
            </w:r>
            <w:proofErr w:type="spellEnd"/>
            <w:del w:id="30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rubella,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varicella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66DBE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11B72">
              <w:rPr>
                <w:rFonts w:asciiTheme="minorHAnsi" w:hAnsiTheme="minorHAnsi" w:cstheme="minorHAnsi"/>
                <w:sz w:val="18"/>
                <w:szCs w:val="18"/>
              </w:rPr>
              <w:t>and also</w:t>
            </w:r>
            <w:proofErr w:type="gramEnd"/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not in new data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B549E0F" w14:textId="77777777" w:rsidR="00411B72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BCF76E6" w14:textId="3B41C187" w:rsidR="00411B72" w:rsidRPr="008A48A4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2D40EDA" w:rsidR="009D485B" w:rsidRPr="008A48A4" w:rsidRDefault="00C0644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ins w:id="31" w:author="Damen, J.A.A. (Anneke) [2]" w:date="2022-07-15T11:53:00Z">
              <w:r>
                <w:rPr>
                  <w:rFonts w:asciiTheme="minorHAnsi" w:hAnsiTheme="minorHAnsi" w:cstheme="minorHAnsi"/>
                  <w:sz w:val="18"/>
                  <w:szCs w:val="18"/>
                </w:rPr>
                <w:t>No match?</w:t>
              </w:r>
            </w:ins>
            <w:del w:id="32" w:author="Damen, J.A.A. (Anneke) [2]" w:date="2022-07-07T15:15:00Z">
              <w:r w:rsidR="00243032" w:rsidDel="00251467">
                <w:rPr>
                  <w:rFonts w:asciiTheme="minorHAnsi" w:hAnsiTheme="minorHAnsi" w:cstheme="minorHAnsi"/>
                  <w:sz w:val="18"/>
                  <w:szCs w:val="18"/>
                </w:rPr>
                <w:delText>work_teratogen</w:delText>
              </w:r>
            </w:del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  <w:commentRangeEnd w:id="33"/>
            <w:r w:rsidR="00C06448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3"/>
            </w:r>
          </w:p>
        </w:tc>
        <w:tc>
          <w:tcPr>
            <w:tcW w:w="1048" w:type="pct"/>
          </w:tcPr>
          <w:p w14:paraId="574A91AF" w14:textId="0C7D76DB" w:rsidR="009D485B" w:rsidDel="00C06448" w:rsidRDefault="009D485B" w:rsidP="00AB1EE8">
            <w:pPr>
              <w:spacing w:line="276" w:lineRule="auto"/>
              <w:contextualSpacing/>
              <w:rPr>
                <w:del w:id="34" w:author="Damen, J.A.A. (Anneke) [2]" w:date="2022-07-15T11:56:00Z"/>
                <w:rFonts w:asciiTheme="minorHAnsi" w:hAnsiTheme="minorHAnsi" w:cstheme="minorHAnsi"/>
                <w:sz w:val="18"/>
                <w:szCs w:val="18"/>
              </w:rPr>
            </w:pPr>
            <w:del w:id="35" w:author="Damen, J.A.A. (Anneke) [2]" w:date="2022-07-15T11:56:00Z">
              <w:r w:rsidRPr="00960570" w:rsidDel="00C06448">
                <w:rPr>
                  <w:rFonts w:asciiTheme="minorHAnsi" w:hAnsiTheme="minorHAnsi" w:cstheme="minorHAnsi"/>
                  <w:sz w:val="18"/>
                  <w:szCs w:val="18"/>
                </w:rPr>
                <w:delText>Inf_chromoabn, chromoabn_rx</w:delText>
              </w:r>
            </w:del>
          </w:p>
          <w:p w14:paraId="62C3CF9F" w14:textId="713EBAE2" w:rsidR="009D485B" w:rsidRPr="008A48A4" w:rsidDel="00C06448" w:rsidRDefault="009D485B" w:rsidP="00AB1EE8">
            <w:pPr>
              <w:pStyle w:val="CommentText"/>
              <w:rPr>
                <w:del w:id="36" w:author="Damen, J.A.A. (Anneke) [2]" w:date="2022-07-15T11:56:00Z"/>
                <w:rFonts w:asciiTheme="minorHAnsi" w:hAnsiTheme="minorHAnsi" w:cstheme="minorHAnsi"/>
              </w:rPr>
            </w:pPr>
            <w:del w:id="37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facongendisord_mat_bin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familial antecedents of congenital malformations</w:delText>
              </w:r>
            </w:del>
          </w:p>
          <w:p w14:paraId="0D00F9EE" w14:textId="7B6A831B" w:rsidR="009D485B" w:rsidRPr="008A48A4" w:rsidDel="00C06448" w:rsidRDefault="009D485B" w:rsidP="00AB1EE8">
            <w:pPr>
              <w:pStyle w:val="CommentText"/>
              <w:rPr>
                <w:del w:id="38" w:author="Damen, J.A.A. (Anneke) [2]" w:date="2022-07-15T11:56:00Z"/>
                <w:rFonts w:asciiTheme="minorHAnsi" w:hAnsiTheme="minorHAnsi" w:cstheme="minorHAnsi"/>
              </w:rPr>
            </w:pPr>
            <w:del w:id="39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med_bin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medications chronic</w:delText>
              </w:r>
            </w:del>
          </w:p>
          <w:p w14:paraId="7980D9E7" w14:textId="076F3605" w:rsidR="009D485B" w:rsidRPr="008A48A4" w:rsidDel="00C06448" w:rsidRDefault="009D485B" w:rsidP="00AB1EE8">
            <w:pPr>
              <w:pStyle w:val="CommentText"/>
              <w:rPr>
                <w:del w:id="40" w:author="Damen, J.A.A. (Anneke) [2]" w:date="2022-07-15T11:56:00Z"/>
                <w:rFonts w:asciiTheme="minorHAnsi" w:hAnsiTheme="minorHAnsi" w:cstheme="minorHAnsi"/>
              </w:rPr>
            </w:pPr>
            <w:del w:id="41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med_anticonvuls_bin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anticonvulsants y/n</w:delText>
              </w:r>
            </w:del>
          </w:p>
          <w:p w14:paraId="5F3466D5" w14:textId="0F434331" w:rsidR="009D485B" w:rsidRPr="008A48A4" w:rsidDel="00C06448" w:rsidRDefault="009D485B" w:rsidP="00AB1EE8">
            <w:pPr>
              <w:pStyle w:val="CommentText"/>
              <w:rPr>
                <w:del w:id="42" w:author="Damen, J.A.A. (Anneke) [2]" w:date="2022-07-15T11:56:00Z"/>
                <w:rFonts w:asciiTheme="minorHAnsi" w:hAnsiTheme="minorHAnsi" w:cstheme="minorHAnsi"/>
              </w:rPr>
            </w:pPr>
            <w:del w:id="43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med_anticonvuls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anticonvulsants(which)</w:delText>
              </w:r>
            </w:del>
          </w:p>
          <w:p w14:paraId="7859D337" w14:textId="5B612319" w:rsidR="009D485B" w:rsidRPr="008A48A4" w:rsidDel="00C06448" w:rsidRDefault="009D485B" w:rsidP="00AB1EE8">
            <w:pPr>
              <w:pStyle w:val="CommentText"/>
              <w:rPr>
                <w:del w:id="44" w:author="Damen, J.A.A. (Anneke) [2]" w:date="2022-07-15T11:56:00Z"/>
                <w:rFonts w:asciiTheme="minorHAnsi" w:hAnsiTheme="minorHAnsi" w:cstheme="minorHAnsi"/>
              </w:rPr>
            </w:pPr>
            <w:del w:id="45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med_preg_bin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medications pregnancy y/n</w:delText>
              </w:r>
            </w:del>
          </w:p>
          <w:p w14:paraId="2908DD04" w14:textId="476E0FBF" w:rsidR="009D485B" w:rsidRPr="008A48A4" w:rsidDel="00C06448" w:rsidRDefault="009D485B" w:rsidP="00AB1EE8">
            <w:pPr>
              <w:pStyle w:val="CommentText"/>
              <w:rPr>
                <w:del w:id="46" w:author="Damen, J.A.A. (Anneke) [2]" w:date="2022-07-15T11:56:00Z"/>
                <w:rFonts w:asciiTheme="minorHAnsi" w:hAnsiTheme="minorHAnsi" w:cstheme="minorHAnsi"/>
              </w:rPr>
            </w:pPr>
            <w:del w:id="47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 xml:space="preserve">med_preg 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medications pregnancy (which)</w:delText>
              </w:r>
            </w:del>
          </w:p>
          <w:p w14:paraId="5413BBFE" w14:textId="06164372" w:rsidR="009D485B" w:rsidRPr="008A48A4" w:rsidDel="00C06448" w:rsidRDefault="009D485B" w:rsidP="00AB1EE8">
            <w:pPr>
              <w:pStyle w:val="CommentText"/>
              <w:rPr>
                <w:del w:id="48" w:author="Damen, J.A.A. (Anneke) [2]" w:date="2022-07-15T11:56:00Z"/>
                <w:rFonts w:asciiTheme="minorHAnsi" w:hAnsiTheme="minorHAnsi" w:cstheme="minorHAnsi"/>
              </w:rPr>
            </w:pPr>
            <w:del w:id="49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med_fertil_bin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 xml:space="preserve"> require assisted fertility treatments y/n</w:delText>
              </w:r>
            </w:del>
          </w:p>
          <w:p w14:paraId="141FDB70" w14:textId="7E31873C" w:rsidR="009D485B" w:rsidRPr="008A48A4" w:rsidDel="00C06448" w:rsidRDefault="009D485B" w:rsidP="00AB1EE8">
            <w:pPr>
              <w:pStyle w:val="CommentText"/>
              <w:rPr>
                <w:del w:id="50" w:author="Damen, J.A.A. (Anneke) [2]" w:date="2022-07-15T11:56:00Z"/>
                <w:rFonts w:asciiTheme="minorHAnsi" w:hAnsiTheme="minorHAnsi" w:cstheme="minorHAnsi"/>
              </w:rPr>
            </w:pPr>
            <w:del w:id="51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 xml:space="preserve">med_fertil </w:delText>
              </w:r>
              <w:r w:rsidRPr="008A48A4" w:rsidDel="00C06448">
                <w:rPr>
                  <w:rFonts w:asciiTheme="minorHAnsi" w:hAnsiTheme="minorHAnsi" w:cstheme="minorHAnsi"/>
                </w:rPr>
                <w:sym w:font="Wingdings" w:char="F0E0"/>
              </w:r>
              <w:r w:rsidRPr="008A48A4" w:rsidDel="00C06448">
                <w:rPr>
                  <w:rFonts w:asciiTheme="minorHAnsi" w:hAnsiTheme="minorHAnsi" w:cstheme="minorHAnsi"/>
                </w:rPr>
                <w:delText>require assisted fertility (which)</w:delText>
              </w:r>
            </w:del>
          </w:p>
          <w:p w14:paraId="25321B33" w14:textId="13913F3B" w:rsidR="009D485B" w:rsidRPr="008A48A4" w:rsidDel="00C06448" w:rsidRDefault="009D485B" w:rsidP="00AB1EE8">
            <w:pPr>
              <w:pStyle w:val="CommentText"/>
              <w:rPr>
                <w:del w:id="52" w:author="Damen, J.A.A. (Anneke) [2]" w:date="2022-07-15T11:56:00Z"/>
                <w:rFonts w:asciiTheme="minorHAnsi" w:hAnsiTheme="minorHAnsi" w:cstheme="minorHAnsi"/>
                <w:u w:val="single"/>
              </w:rPr>
            </w:pPr>
            <w:del w:id="53" w:author="Damen, J.A.A. (Anneke) [2]" w:date="2022-07-15T11:56:00Z">
              <w:r w:rsidRPr="008A48A4" w:rsidDel="00C06448">
                <w:rPr>
                  <w:rFonts w:asciiTheme="minorHAnsi" w:hAnsiTheme="minorHAnsi" w:cstheme="minorHAnsi"/>
                  <w:u w:val="single"/>
                </w:rPr>
                <w:delText>Genetic testing:</w:delText>
              </w:r>
            </w:del>
          </w:p>
          <w:p w14:paraId="0E4A4042" w14:textId="3FF7DF34" w:rsidR="009D485B" w:rsidRPr="008A48A4" w:rsidDel="00C06448" w:rsidRDefault="009D485B" w:rsidP="00AB1EE8">
            <w:pPr>
              <w:pStyle w:val="CommentText"/>
              <w:rPr>
                <w:del w:id="54" w:author="Damen, J.A.A. (Anneke) [2]" w:date="2022-07-15T11:56:00Z"/>
                <w:rFonts w:asciiTheme="minorHAnsi" w:hAnsiTheme="minorHAnsi" w:cstheme="minorHAnsi"/>
              </w:rPr>
            </w:pPr>
            <w:del w:id="55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chromoabn_screen</w:delText>
              </w:r>
            </w:del>
          </w:p>
          <w:p w14:paraId="518FD774" w14:textId="1A10FBD4" w:rsidR="009D485B" w:rsidRPr="008A48A4" w:rsidDel="00C06448" w:rsidRDefault="009D485B" w:rsidP="00AB1EE8">
            <w:pPr>
              <w:pStyle w:val="CommentText"/>
              <w:rPr>
                <w:del w:id="56" w:author="Damen, J.A.A. (Anneke) [2]" w:date="2022-07-15T11:56:00Z"/>
                <w:rFonts w:asciiTheme="minorHAnsi" w:hAnsiTheme="minorHAnsi" w:cstheme="minorHAnsi"/>
              </w:rPr>
            </w:pPr>
            <w:del w:id="57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chromoabn_test</w:delText>
              </w:r>
            </w:del>
          </w:p>
          <w:p w14:paraId="16494ED1" w14:textId="595C82B6" w:rsidR="009D485B" w:rsidRPr="008A48A4" w:rsidDel="00C06448" w:rsidRDefault="009D485B" w:rsidP="00AB1EE8">
            <w:pPr>
              <w:pStyle w:val="CommentText"/>
              <w:rPr>
                <w:del w:id="58" w:author="Damen, J.A.A. (Anneke) [2]" w:date="2022-07-15T11:56:00Z"/>
                <w:rFonts w:asciiTheme="minorHAnsi" w:hAnsiTheme="minorHAnsi" w:cstheme="minorHAnsi"/>
              </w:rPr>
            </w:pPr>
            <w:del w:id="59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chromoabn_risk</w:delText>
              </w:r>
            </w:del>
          </w:p>
          <w:p w14:paraId="15615AF4" w14:textId="640B9A5E" w:rsidR="009D485B" w:rsidRPr="008A48A4" w:rsidDel="00C06448" w:rsidRDefault="009D485B" w:rsidP="00AB1EE8">
            <w:pPr>
              <w:pStyle w:val="CommentText"/>
              <w:rPr>
                <w:del w:id="60" w:author="Damen, J.A.A. (Anneke) [2]" w:date="2022-07-15T11:56:00Z"/>
                <w:rFonts w:asciiTheme="minorHAnsi" w:hAnsiTheme="minorHAnsi" w:cstheme="minorHAnsi"/>
              </w:rPr>
            </w:pPr>
            <w:del w:id="61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chromoabn_rx</w:delText>
              </w:r>
            </w:del>
          </w:p>
          <w:p w14:paraId="52EB10DD" w14:textId="7B11ECBD" w:rsidR="009D485B" w:rsidRPr="008A48A4" w:rsidDel="00C06448" w:rsidRDefault="009D485B" w:rsidP="00AB1EE8">
            <w:pPr>
              <w:pStyle w:val="CommentText"/>
              <w:rPr>
                <w:del w:id="62" w:author="Damen, J.A.A. (Anneke) [2]" w:date="2022-07-15T11:56:00Z"/>
                <w:rFonts w:asciiTheme="minorHAnsi" w:hAnsiTheme="minorHAnsi" w:cstheme="minorHAnsi"/>
              </w:rPr>
            </w:pPr>
            <w:del w:id="63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chromoabn_test_oth</w:delText>
              </w:r>
            </w:del>
          </w:p>
          <w:p w14:paraId="1EF2E067" w14:textId="09358248" w:rsidR="009D485B" w:rsidRPr="008A48A4" w:rsidDel="00C06448" w:rsidRDefault="009D485B" w:rsidP="00AB1EE8">
            <w:pPr>
              <w:pStyle w:val="CommentText"/>
              <w:rPr>
                <w:del w:id="64" w:author="Damen, J.A.A. (Anneke) [2]" w:date="2022-07-15T11:56:00Z"/>
                <w:rFonts w:asciiTheme="minorHAnsi" w:hAnsiTheme="minorHAnsi" w:cstheme="minorHAnsi"/>
              </w:rPr>
            </w:pPr>
            <w:del w:id="65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inf_chromoabn</w:delText>
              </w:r>
            </w:del>
          </w:p>
          <w:p w14:paraId="66979B65" w14:textId="2C2F7162" w:rsidR="009D485B" w:rsidRPr="008A48A4" w:rsidDel="00C06448" w:rsidRDefault="009D485B" w:rsidP="00AB1EE8">
            <w:pPr>
              <w:pStyle w:val="CommentText"/>
              <w:rPr>
                <w:del w:id="66" w:author="Damen, J.A.A. (Anneke) [2]" w:date="2022-07-15T11:56:00Z"/>
                <w:rFonts w:asciiTheme="minorHAnsi" w:hAnsiTheme="minorHAnsi" w:cstheme="minorHAnsi"/>
              </w:rPr>
            </w:pPr>
            <w:del w:id="67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inf_chromoabn_test</w:delText>
              </w:r>
            </w:del>
          </w:p>
          <w:p w14:paraId="61315292" w14:textId="0EFF174C" w:rsidR="009D485B" w:rsidRPr="008A48A4" w:rsidDel="00C06448" w:rsidRDefault="009D485B" w:rsidP="00AB1EE8">
            <w:pPr>
              <w:pStyle w:val="CommentText"/>
              <w:rPr>
                <w:del w:id="68" w:author="Damen, J.A.A. (Anneke) [2]" w:date="2022-07-15T11:56:00Z"/>
                <w:rFonts w:asciiTheme="minorHAnsi" w:hAnsiTheme="minorHAnsi" w:cstheme="minorHAnsi"/>
              </w:rPr>
            </w:pPr>
            <w:del w:id="69" w:author="Damen, J.A.A. (Anneke) [2]" w:date="2022-07-15T11:56:00Z">
              <w:r w:rsidRPr="008A48A4" w:rsidDel="00C06448">
                <w:rPr>
                  <w:rFonts w:asciiTheme="minorHAnsi" w:hAnsiTheme="minorHAnsi" w:cstheme="minorHAnsi"/>
                </w:rPr>
                <w:delText>inf_chromoabn_test_oth</w:delText>
              </w:r>
            </w:del>
          </w:p>
          <w:p w14:paraId="323F3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2787DCD3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3F6552F" w14:textId="41F061A8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243032">
              <w:rPr>
                <w:rFonts w:asciiTheme="minorHAnsi" w:hAnsiTheme="minorHAnsi" w:cstheme="minorHAnsi"/>
                <w:sz w:val="18"/>
                <w:szCs w:val="18"/>
              </w:rPr>
              <w:t>Also include comorbidities here?</w:t>
            </w: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70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  <w:commentRangeEnd w:id="70"/>
            <w:r w:rsidR="002A1AAA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0"/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7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  <w:commentRangeEnd w:id="71"/>
            <w:r w:rsidR="00DF6DD0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1"/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lastRenderedPageBreak/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lastRenderedPageBreak/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01123DF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Genotype</w:t>
            </w:r>
            <w:ins w:id="72" w:author="Damen, J.A.A. (Anneke) [2]" w:date="2022-07-15T13:44:00Z">
              <w:r w:rsidR="00E66E18">
                <w:rPr>
                  <w:rFonts w:asciiTheme="minorHAnsi" w:hAnsiTheme="minorHAnsi" w:cstheme="minorHAnsi"/>
                  <w:sz w:val="18"/>
                  <w:szCs w:val="18"/>
                  <w:lang w:val="en-GB"/>
                </w:rPr>
                <w:t>:</w:t>
              </w:r>
            </w:ins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</w:t>
            </w:r>
            <w:ins w:id="73" w:author="Damen, J.A.A. (Anneke) [2]" w:date="2022-07-15T13:44:00Z">
              <w:r w:rsidR="00E66E18">
                <w:rPr>
                  <w:rFonts w:asciiTheme="minorHAnsi" w:hAnsiTheme="minorHAnsi" w:cstheme="minorHAnsi"/>
                  <w:sz w:val="18"/>
                  <w:szCs w:val="18"/>
                </w:rPr>
                <w:t xml:space="preserve"> – also not in new dataset?</w:t>
              </w:r>
            </w:ins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74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commentRangeEnd w:id="74"/>
            <w:r w:rsidR="005E49F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4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3A104A1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  <w:proofErr w:type="spellEnd"/>
          </w:p>
          <w:p w14:paraId="516BF5F6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</w:p>
          <w:p w14:paraId="2FDF563E" w14:textId="0720FA5F" w:rsidR="00243032" w:rsidRPr="00960570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infection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?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7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</w:t>
            </w:r>
            <w:commentRangeEnd w:id="75"/>
            <w:r w:rsidR="00211E36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76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76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6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72F22E6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  <w:r w:rsidR="0046242A">
              <w:rPr>
                <w:rFonts w:asciiTheme="minorHAnsi" w:hAnsiTheme="minorHAnsi" w:cstheme="minorHAnsi"/>
                <w:sz w:val="18"/>
                <w:szCs w:val="18"/>
              </w:rPr>
              <w:t>, however we have very few data on this.</w:t>
            </w:r>
          </w:p>
          <w:p w14:paraId="5EA5CCCE" w14:textId="77777777" w:rsidR="0046242A" w:rsidRDefault="0046242A" w:rsidP="00AB1EE8">
            <w:pPr>
              <w:spacing w:line="276" w:lineRule="auto"/>
              <w:contextualSpacing/>
              <w:rPr>
                <w:ins w:id="77" w:author="Damen, J.A.A. (Anneke) [2]" w:date="2022-07-15T15:57:00Z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Likely not match for this variable.</w:t>
            </w:r>
          </w:p>
          <w:p w14:paraId="6601A169" w14:textId="77777777" w:rsidR="00C239D6" w:rsidRDefault="00C239D6" w:rsidP="00AB1EE8">
            <w:pPr>
              <w:spacing w:line="276" w:lineRule="auto"/>
              <w:contextualSpacing/>
              <w:rPr>
                <w:ins w:id="78" w:author="Damen, J.A.A. (Anneke) [2]" w:date="2022-07-15T15:57:00Z"/>
                <w:rFonts w:asciiTheme="minorHAnsi" w:hAnsiTheme="minorHAnsi" w:cstheme="minorHAnsi"/>
                <w:sz w:val="18"/>
                <w:szCs w:val="18"/>
              </w:rPr>
            </w:pPr>
          </w:p>
          <w:p w14:paraId="30A474EA" w14:textId="7D99EF8B" w:rsidR="00C239D6" w:rsidRPr="008A48A4" w:rsidRDefault="00C239D6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ins w:id="79" w:author="Damen, J.A.A. (Anneke) [2]" w:date="2022-07-15T15:57:00Z">
              <w:r>
                <w:rPr>
                  <w:rFonts w:asciiTheme="minorHAnsi" w:hAnsiTheme="minorHAnsi" w:cstheme="minorHAnsi"/>
                  <w:sz w:val="18"/>
                  <w:szCs w:val="18"/>
                </w:rPr>
                <w:t>No match</w:t>
              </w:r>
            </w:ins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80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  <w:commentRangeEnd w:id="80"/>
            <w:r w:rsidR="00C239D6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80"/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2EE89901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 xml:space="preserve">a </w:t>
      </w:r>
      <w:r w:rsidR="00ED4E1D">
        <w:rPr>
          <w:lang w:val="nl-NL"/>
        </w:rPr>
        <w:t>for questions</w:t>
      </w:r>
      <w:r>
        <w:rPr>
          <w:lang w:val="nl-NL"/>
        </w:rPr>
        <w:t>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9" w:author="Damen, J.A.A. (Anneke) [2]" w:date="2022-07-15T10:50:00Z" w:initials="DJ(">
    <w:p w14:paraId="7902A9AA" w14:textId="77777777" w:rsidR="001C6BBD" w:rsidRDefault="001C6BBD" w:rsidP="00BA678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TO DO</w:t>
      </w:r>
    </w:p>
  </w:comment>
  <w:comment w:id="10" w:author="Damen, J.A.A. (Anneke)" w:date="2021-03-12T15:58:00Z" w:initials="DJ(">
    <w:p w14:paraId="7AADFDD1" w14:textId="55636445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e.g. </w:t>
      </w:r>
      <w:r w:rsidRPr="00B52262">
        <w:t>fet_us_bin_tri1</w:t>
      </w:r>
    </w:p>
  </w:comment>
  <w:comment w:id="12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r w:rsidRPr="00F11317">
        <w:t>inf_head_circ_birth</w:t>
      </w:r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13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33" w:author="Damen, J.A.A. (Anneke) [2]" w:date="2022-07-15T11:56:00Z" w:initials="DJ(">
    <w:p w14:paraId="1B6CF03E" w14:textId="77777777" w:rsidR="00C06448" w:rsidRDefault="00C06448" w:rsidP="003A4793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Help needed with this variable…!</w:t>
      </w:r>
    </w:p>
  </w:comment>
  <w:comment w:id="70" w:author="Damen, J.A.A. (Anneke) [2]" w:date="2022-07-15T11:57:00Z" w:initials="DJ(">
    <w:p w14:paraId="1CC11E45" w14:textId="77777777" w:rsidR="002A1AAA" w:rsidRDefault="002A1AAA" w:rsidP="00275390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To discuss: do we see this as outcome or as effect modifier?</w:t>
      </w:r>
    </w:p>
  </w:comment>
  <w:comment w:id="71" w:author="Damen, J.A.A. (Anneke) [2]" w:date="2022-07-15T12:08:00Z" w:initials="DJ(">
    <w:p w14:paraId="06BA3C1B" w14:textId="77777777" w:rsidR="00DF6DD0" w:rsidRDefault="00DF6DD0" w:rsidP="0034502B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Help needed.</w:t>
      </w:r>
    </w:p>
  </w:comment>
  <w:comment w:id="74" w:author="Damen, J.A.A. (Anneke) [2]" w:date="2022-07-15T13:49:00Z" w:initials="DJ(">
    <w:p w14:paraId="00808E25" w14:textId="77777777" w:rsidR="005E49F5" w:rsidRDefault="005E49F5" w:rsidP="00FF54CE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we have this?</w:t>
      </w:r>
    </w:p>
  </w:comment>
  <w:comment w:id="75" w:author="Damen, J.A.A. (Anneke) [2]" w:date="2022-07-15T15:50:00Z" w:initials="DJ(">
    <w:p w14:paraId="388F1431" w14:textId="77777777" w:rsidR="00211E36" w:rsidRDefault="00211E36" w:rsidP="00BC0936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Also include history of these pregnancy-related conditions or only during current pregnancy?</w:t>
      </w:r>
    </w:p>
  </w:comment>
  <w:comment w:id="76" w:author="Damen, J.A.A. (Anneke)" w:date="2021-07-08T15:26:00Z" w:initials="DJ(">
    <w:p w14:paraId="72351E61" w14:textId="48DB186D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  <w:comment w:id="80" w:author="Damen, J.A.A. (Anneke) [2]" w:date="2022-07-15T15:57:00Z" w:initials="DJ(">
    <w:p w14:paraId="79EC2ED2" w14:textId="77777777" w:rsidR="00C239D6" w:rsidRDefault="00C239D6" w:rsidP="0081643E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How can we code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902A9AA" w15:done="0"/>
  <w15:commentEx w15:paraId="7AADFDD1" w15:done="0"/>
  <w15:commentEx w15:paraId="1EBB6C6A" w15:done="0"/>
  <w15:commentEx w15:paraId="6DCB7A5E" w15:paraIdParent="1EBB6C6A" w15:done="0"/>
  <w15:commentEx w15:paraId="1B6CF03E" w15:done="0"/>
  <w15:commentEx w15:paraId="1CC11E45" w15:done="0"/>
  <w15:commentEx w15:paraId="06BA3C1B" w15:done="0"/>
  <w15:commentEx w15:paraId="00808E25" w15:done="0"/>
  <w15:commentEx w15:paraId="388F1431" w15:done="0"/>
  <w15:commentEx w15:paraId="617DF1B9" w15:done="0"/>
  <w15:commentEx w15:paraId="79EC2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67BC500" w16cex:dateUtc="2022-07-15T08:50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67BD454" w16cex:dateUtc="2022-07-15T09:56:00Z"/>
  <w16cex:commentExtensible w16cex:durableId="267BD4A0" w16cex:dateUtc="2022-07-15T09:57:00Z"/>
  <w16cex:commentExtensible w16cex:durableId="267BD73D" w16cex:dateUtc="2022-07-15T10:08:00Z"/>
  <w16cex:commentExtensible w16cex:durableId="267BEEEB" w16cex:dateUtc="2022-07-15T11:49:00Z"/>
  <w16cex:commentExtensible w16cex:durableId="267C0B52" w16cex:dateUtc="2022-07-15T13:50:00Z"/>
  <w16cex:commentExtensible w16cex:durableId="24919788" w16cex:dateUtc="2021-07-08T13:26:00Z"/>
  <w16cex:commentExtensible w16cex:durableId="267C0D05" w16cex:dateUtc="2022-07-15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902A9AA" w16cid:durableId="267BC500"/>
  <w16cid:commentId w16cid:paraId="7AADFDD1" w16cid:durableId="23F60E39"/>
  <w16cid:commentId w16cid:paraId="1EBB6C6A" w16cid:durableId="23B40C5E"/>
  <w16cid:commentId w16cid:paraId="6DCB7A5E" w16cid:durableId="24A515D9"/>
  <w16cid:commentId w16cid:paraId="1B6CF03E" w16cid:durableId="267BD454"/>
  <w16cid:commentId w16cid:paraId="1CC11E45" w16cid:durableId="267BD4A0"/>
  <w16cid:commentId w16cid:paraId="06BA3C1B" w16cid:durableId="267BD73D"/>
  <w16cid:commentId w16cid:paraId="00808E25" w16cid:durableId="267BEEEB"/>
  <w16cid:commentId w16cid:paraId="388F1431" w16cid:durableId="267C0B52"/>
  <w16cid:commentId w16cid:paraId="617DF1B9" w16cid:durableId="24919788"/>
  <w16cid:commentId w16cid:paraId="79EC2ED2" w16cid:durableId="267C0D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33652">
    <w:abstractNumId w:val="1"/>
  </w:num>
  <w:num w:numId="2" w16cid:durableId="7671203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  <w15:person w15:author="Damen, J.A.A. (Anneke) [2]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10638"/>
    <w:rsid w:val="00142068"/>
    <w:rsid w:val="00142E8A"/>
    <w:rsid w:val="0014600A"/>
    <w:rsid w:val="001566C0"/>
    <w:rsid w:val="001A5A07"/>
    <w:rsid w:val="001B048F"/>
    <w:rsid w:val="001C6BBD"/>
    <w:rsid w:val="001E12D2"/>
    <w:rsid w:val="001F21EF"/>
    <w:rsid w:val="00211E36"/>
    <w:rsid w:val="0022626B"/>
    <w:rsid w:val="00231913"/>
    <w:rsid w:val="00243032"/>
    <w:rsid w:val="002475A5"/>
    <w:rsid w:val="00251467"/>
    <w:rsid w:val="00257DEA"/>
    <w:rsid w:val="002651B7"/>
    <w:rsid w:val="002A1AAA"/>
    <w:rsid w:val="002B5E57"/>
    <w:rsid w:val="002D1F1F"/>
    <w:rsid w:val="003564D0"/>
    <w:rsid w:val="00370203"/>
    <w:rsid w:val="003821C2"/>
    <w:rsid w:val="003A3AC9"/>
    <w:rsid w:val="003C2811"/>
    <w:rsid w:val="003D0612"/>
    <w:rsid w:val="003D20CD"/>
    <w:rsid w:val="00400B8D"/>
    <w:rsid w:val="00411B72"/>
    <w:rsid w:val="00424E2A"/>
    <w:rsid w:val="00433F3C"/>
    <w:rsid w:val="004566A1"/>
    <w:rsid w:val="004566DE"/>
    <w:rsid w:val="0046242A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76D13"/>
    <w:rsid w:val="00580317"/>
    <w:rsid w:val="00585C2A"/>
    <w:rsid w:val="005A483D"/>
    <w:rsid w:val="005B4708"/>
    <w:rsid w:val="005D75C5"/>
    <w:rsid w:val="005E49F5"/>
    <w:rsid w:val="00611F03"/>
    <w:rsid w:val="006241D7"/>
    <w:rsid w:val="0062671E"/>
    <w:rsid w:val="00637E56"/>
    <w:rsid w:val="00670FD7"/>
    <w:rsid w:val="00673740"/>
    <w:rsid w:val="007265F9"/>
    <w:rsid w:val="0074076B"/>
    <w:rsid w:val="00770FE0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8F2859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53D72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B6AA1"/>
    <w:rsid w:val="00BD587E"/>
    <w:rsid w:val="00BF21B8"/>
    <w:rsid w:val="00C03BB0"/>
    <w:rsid w:val="00C06448"/>
    <w:rsid w:val="00C1731F"/>
    <w:rsid w:val="00C239D6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DF6DD0"/>
    <w:rsid w:val="00E14894"/>
    <w:rsid w:val="00E433BE"/>
    <w:rsid w:val="00E66E18"/>
    <w:rsid w:val="00E70362"/>
    <w:rsid w:val="00EB23F6"/>
    <w:rsid w:val="00EB257E"/>
    <w:rsid w:val="00EC3CF0"/>
    <w:rsid w:val="00ED1DB6"/>
    <w:rsid w:val="00ED4E1D"/>
    <w:rsid w:val="00EF0F2E"/>
    <w:rsid w:val="00F00AD7"/>
    <w:rsid w:val="00F11317"/>
    <w:rsid w:val="00F302D1"/>
    <w:rsid w:val="00F362EC"/>
    <w:rsid w:val="00F56EFF"/>
    <w:rsid w:val="00F9248E"/>
    <w:rsid w:val="00FD28C1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13</cp:revision>
  <dcterms:created xsi:type="dcterms:W3CDTF">2021-09-02T09:12:00Z</dcterms:created>
  <dcterms:modified xsi:type="dcterms:W3CDTF">2022-07-15T14:10:00Z</dcterms:modified>
</cp:coreProperties>
</file>