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 API REST de Gestión de Clientes, Facturas y Productos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API REST, desarrollada con Django y Django REST Framework, facilita operaciones CRUD en entidades como Clientes, Facturas y Productos. Incluye autenticación JWT, importación/exportación CSV y ejecución de consultas SQL directas.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Configuración del Entorno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 Previos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3.8+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Django 3.2+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Django REST Framework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Paquetes en requirements.txt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Instalación y Configuración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Clona el repositorio de GitHub: git clone [URL del repositorio].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Instala las dependencias: pip install -r requirements.txt.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 la base de datos en settings.py. PostgreSQL es recomendado.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Ejecuta python manage.py migrate para crear las tablas en la base de datos.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iniciar el servidor de Django: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API estará disponible en http://localhost:8000/.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API utiliza JWT. Los tokens se deben enviar en el encabezado de autorización HTTP.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Registro de Usuarios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URL: /register/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Método: POST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Cuerpo de la solicitud: {"username": "usuario", "password": "contraseña"}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Respuesta exitosa: Código 201, tokens de acceso y actualización.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Obtener Token de Acceso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URL: /token/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Método: POST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Cuerpo de la solicitud: {"username": "usuario", "password": "contraseña"}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Respuesta exitosa: Código 200, tokens de acceso y actualización.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Descripción detallada de cada endpoint, incluyendo métodos, parámetros y formatos de respuesta.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Obtener Clientes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Cliente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Obtener Productos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Producto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Facturas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Obtener Facturas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Crear Factura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Importación/Exportación de CSV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Exportar Clientes a CSV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Importar Clientes desde CSV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Manejo de Errores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Explicación de cómo la API gestiona y reporta errores, incluyendo códigos de estado y mensajes.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Instrucciones para ejecutar pruebas unitarias y de integración.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