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653A4" w14:textId="77777777" w:rsidR="001823EF" w:rsidRPr="003734CB" w:rsidRDefault="00000000">
      <w:pPr>
        <w:spacing w:before="200" w:after="80"/>
        <w:rPr>
          <w:lang w:val="es-US"/>
        </w:rPr>
      </w:pPr>
      <w:r w:rsidRPr="003734CB">
        <w:rPr>
          <w:b/>
          <w:sz w:val="46"/>
          <w:lang w:val="es-US"/>
        </w:rPr>
        <w:t>RESUMEN DE VALIDACIÓN DE ALERTAS KIPU</w:t>
      </w:r>
    </w:p>
    <w:p w14:paraId="6BF382A8" w14:textId="77777777" w:rsidR="001823EF" w:rsidRPr="003734CB" w:rsidRDefault="00000000">
      <w:pPr>
        <w:spacing w:after="280"/>
        <w:rPr>
          <w:lang w:val="es-US"/>
        </w:rPr>
      </w:pPr>
      <w:r w:rsidRPr="003734CB">
        <w:rPr>
          <w:color w:val="555555"/>
          <w:sz w:val="28"/>
          <w:lang w:val="es-US"/>
        </w:rPr>
        <w:t>Corte operativo del 14 de agosto de 2026</w:t>
      </w:r>
    </w:p>
    <w:p w14:paraId="77E85D31" w14:textId="77777777" w:rsidR="001823EF" w:rsidRPr="003734CB" w:rsidRDefault="00000000">
      <w:pPr>
        <w:spacing w:after="40" w:line="240" w:lineRule="auto"/>
        <w:rPr>
          <w:lang w:val="es-US"/>
        </w:rPr>
      </w:pPr>
      <w:r w:rsidRPr="003734CB">
        <w:rPr>
          <w:b/>
          <w:sz w:val="21"/>
          <w:lang w:val="es-US"/>
        </w:rPr>
        <w:t xml:space="preserve">Corte de datos: </w:t>
      </w:r>
      <w:r w:rsidRPr="003734CB">
        <w:rPr>
          <w:sz w:val="21"/>
          <w:lang w:val="es-US"/>
        </w:rPr>
        <w:t>14 de agosto de 2026, 11:38 (Ecuador)</w:t>
      </w:r>
    </w:p>
    <w:p w14:paraId="284C0BE0" w14:textId="77777777" w:rsidR="001823EF" w:rsidRPr="003734CB" w:rsidRDefault="00000000">
      <w:pPr>
        <w:spacing w:after="40" w:line="240" w:lineRule="auto"/>
        <w:rPr>
          <w:lang w:val="es-US"/>
        </w:rPr>
      </w:pPr>
      <w:r w:rsidRPr="003734CB">
        <w:rPr>
          <w:b/>
          <w:sz w:val="21"/>
          <w:lang w:val="es-US"/>
        </w:rPr>
        <w:t xml:space="preserve">Política aplicada: </w:t>
      </w:r>
      <w:r w:rsidRPr="003734CB">
        <w:rPr>
          <w:sz w:val="21"/>
          <w:lang w:val="es-US"/>
        </w:rPr>
        <w:t>2026-08-13.1</w:t>
      </w:r>
    </w:p>
    <w:p w14:paraId="08705995" w14:textId="77777777" w:rsidR="001823EF" w:rsidRPr="003734CB" w:rsidRDefault="00000000">
      <w:pPr>
        <w:spacing w:after="40" w:line="240" w:lineRule="auto"/>
        <w:rPr>
          <w:lang w:val="es-US"/>
        </w:rPr>
      </w:pPr>
      <w:r w:rsidRPr="003734CB">
        <w:rPr>
          <w:b/>
          <w:sz w:val="21"/>
          <w:lang w:val="es-US"/>
        </w:rPr>
        <w:t xml:space="preserve">Estado: </w:t>
      </w:r>
      <w:r w:rsidRPr="003734CB">
        <w:rPr>
          <w:sz w:val="21"/>
          <w:lang w:val="es-US"/>
        </w:rPr>
        <w:t>Revisión manual completada</w:t>
      </w:r>
    </w:p>
    <w:p w14:paraId="59296E5D" w14:textId="77777777" w:rsidR="001823EF" w:rsidRPr="003734CB" w:rsidRDefault="001823EF">
      <w:pPr>
        <w:pBdr>
          <w:bottom w:val="single" w:sz="12" w:space="4" w:color="2E74B5"/>
        </w:pBdr>
        <w:spacing w:before="120" w:after="40"/>
        <w:rPr>
          <w:lang w:val="es-US"/>
        </w:rPr>
      </w:pPr>
    </w:p>
    <w:p w14:paraId="257BB955" w14:textId="77777777" w:rsidR="001823EF" w:rsidRDefault="00000000">
      <w:pPr>
        <w:pStyle w:val="Heading1"/>
      </w:pPr>
      <w:r>
        <w:t>Resultado del corte</w:t>
      </w:r>
    </w:p>
    <w:tbl>
      <w:tblPr>
        <w:tblStyle w:val="TableGrid"/>
        <w:tblW w:w="9360" w:type="dxa"/>
        <w:tblInd w:w="120" w:type="dxa"/>
        <w:tblLayout w:type="fixed"/>
        <w:tblLook w:val="04A0" w:firstRow="1" w:lastRow="0" w:firstColumn="1" w:lastColumn="0" w:noHBand="0" w:noVBand="1"/>
      </w:tblPr>
      <w:tblGrid>
        <w:gridCol w:w="3168"/>
        <w:gridCol w:w="1296"/>
        <w:gridCol w:w="4896"/>
      </w:tblGrid>
      <w:tr w:rsidR="001823EF" w14:paraId="1BAE7554" w14:textId="77777777">
        <w:trPr>
          <w:tblHeader/>
        </w:trPr>
        <w:tc>
          <w:tcPr>
            <w:tcW w:w="3168" w:type="dxa"/>
            <w:tcBorders>
              <w:top w:val="single" w:sz="4" w:space="0" w:color="D7DBE2"/>
              <w:left w:val="single" w:sz="4" w:space="0" w:color="D7DBE2"/>
              <w:bottom w:val="single" w:sz="4" w:space="0" w:color="D7DBE2"/>
              <w:right w:val="single" w:sz="4" w:space="0" w:color="D7DBE2"/>
            </w:tcBorders>
            <w:shd w:val="clear" w:color="auto" w:fill="F2F4F7"/>
            <w:tcMar>
              <w:top w:w="80" w:type="dxa"/>
              <w:left w:w="120" w:type="dxa"/>
              <w:bottom w:w="80" w:type="dxa"/>
              <w:right w:w="120" w:type="dxa"/>
            </w:tcMar>
            <w:vAlign w:val="center"/>
          </w:tcPr>
          <w:p w14:paraId="1681B9AA" w14:textId="77777777" w:rsidR="001823EF" w:rsidRDefault="00000000">
            <w:pPr>
              <w:spacing w:after="0"/>
            </w:pPr>
            <w:r>
              <w:rPr>
                <w:b/>
                <w:color w:val="1F4D78"/>
                <w:sz w:val="21"/>
              </w:rPr>
              <w:t>Etapa</w:t>
            </w:r>
          </w:p>
        </w:tc>
        <w:tc>
          <w:tcPr>
            <w:tcW w:w="1296" w:type="dxa"/>
            <w:tcBorders>
              <w:top w:val="single" w:sz="4" w:space="0" w:color="D7DBE2"/>
              <w:left w:val="single" w:sz="4" w:space="0" w:color="D7DBE2"/>
              <w:bottom w:val="single" w:sz="4" w:space="0" w:color="D7DBE2"/>
              <w:right w:val="single" w:sz="4" w:space="0" w:color="D7DBE2"/>
            </w:tcBorders>
            <w:shd w:val="clear" w:color="auto" w:fill="F2F4F7"/>
            <w:tcMar>
              <w:top w:w="80" w:type="dxa"/>
              <w:left w:w="120" w:type="dxa"/>
              <w:bottom w:w="80" w:type="dxa"/>
              <w:right w:w="120" w:type="dxa"/>
            </w:tcMar>
            <w:vAlign w:val="center"/>
          </w:tcPr>
          <w:p w14:paraId="09BC62B0" w14:textId="77777777" w:rsidR="001823EF" w:rsidRDefault="00000000">
            <w:pPr>
              <w:spacing w:after="0"/>
              <w:jc w:val="center"/>
            </w:pPr>
            <w:r>
              <w:rPr>
                <w:b/>
                <w:color w:val="1F4D78"/>
                <w:sz w:val="21"/>
              </w:rPr>
              <w:t>Alertas</w:t>
            </w:r>
          </w:p>
        </w:tc>
        <w:tc>
          <w:tcPr>
            <w:tcW w:w="4896" w:type="dxa"/>
            <w:tcBorders>
              <w:top w:val="single" w:sz="4" w:space="0" w:color="D7DBE2"/>
              <w:left w:val="single" w:sz="4" w:space="0" w:color="D7DBE2"/>
              <w:bottom w:val="single" w:sz="4" w:space="0" w:color="D7DBE2"/>
              <w:right w:val="single" w:sz="4" w:space="0" w:color="D7DBE2"/>
            </w:tcBorders>
            <w:shd w:val="clear" w:color="auto" w:fill="F2F4F7"/>
            <w:tcMar>
              <w:top w:w="80" w:type="dxa"/>
              <w:left w:w="120" w:type="dxa"/>
              <w:bottom w:w="80" w:type="dxa"/>
              <w:right w:w="120" w:type="dxa"/>
            </w:tcMar>
            <w:vAlign w:val="center"/>
          </w:tcPr>
          <w:p w14:paraId="1B22A8B2" w14:textId="77777777" w:rsidR="001823EF" w:rsidRDefault="00000000">
            <w:pPr>
              <w:spacing w:after="0"/>
            </w:pPr>
            <w:r>
              <w:rPr>
                <w:b/>
                <w:color w:val="1F4D78"/>
                <w:sz w:val="21"/>
              </w:rPr>
              <w:t>Resultado</w:t>
            </w:r>
          </w:p>
        </w:tc>
      </w:tr>
      <w:tr w:rsidR="001823EF" w14:paraId="6AB1E108" w14:textId="77777777">
        <w:tc>
          <w:tcPr>
            <w:tcW w:w="3168" w:type="dxa"/>
            <w:tcBorders>
              <w:top w:val="single" w:sz="4" w:space="0" w:color="D7DBE2"/>
              <w:left w:val="single" w:sz="4" w:space="0" w:color="D7DBE2"/>
              <w:bottom w:val="single" w:sz="4" w:space="0" w:color="D7DBE2"/>
              <w:right w:val="single" w:sz="4" w:space="0" w:color="D7DBE2"/>
            </w:tcBorders>
            <w:tcMar>
              <w:top w:w="80" w:type="dxa"/>
              <w:left w:w="120" w:type="dxa"/>
              <w:bottom w:w="80" w:type="dxa"/>
              <w:right w:w="120" w:type="dxa"/>
            </w:tcMar>
            <w:vAlign w:val="center"/>
          </w:tcPr>
          <w:p w14:paraId="0ED7E7FE" w14:textId="77777777" w:rsidR="001823EF" w:rsidRDefault="00000000">
            <w:pPr>
              <w:spacing w:after="0" w:line="252" w:lineRule="auto"/>
            </w:pPr>
            <w:r>
              <w:rPr>
                <w:sz w:val="21"/>
              </w:rPr>
              <w:t>Snapshot diario de Kipu</w:t>
            </w:r>
          </w:p>
        </w:tc>
        <w:tc>
          <w:tcPr>
            <w:tcW w:w="1296" w:type="dxa"/>
            <w:tcBorders>
              <w:top w:val="single" w:sz="4" w:space="0" w:color="D7DBE2"/>
              <w:left w:val="single" w:sz="4" w:space="0" w:color="D7DBE2"/>
              <w:bottom w:val="single" w:sz="4" w:space="0" w:color="D7DBE2"/>
              <w:right w:val="single" w:sz="4" w:space="0" w:color="D7DBE2"/>
            </w:tcBorders>
            <w:tcMar>
              <w:top w:w="80" w:type="dxa"/>
              <w:left w:w="120" w:type="dxa"/>
              <w:bottom w:w="80" w:type="dxa"/>
              <w:right w:w="120" w:type="dxa"/>
            </w:tcMar>
            <w:vAlign w:val="center"/>
          </w:tcPr>
          <w:p w14:paraId="0BEBB1E6" w14:textId="77777777" w:rsidR="001823EF" w:rsidRDefault="00000000">
            <w:pPr>
              <w:spacing w:after="0" w:line="252" w:lineRule="auto"/>
              <w:jc w:val="center"/>
            </w:pPr>
            <w:r>
              <w:rPr>
                <w:b/>
                <w:color w:val="1F4D78"/>
                <w:sz w:val="21"/>
              </w:rPr>
              <w:t>594</w:t>
            </w:r>
          </w:p>
        </w:tc>
        <w:tc>
          <w:tcPr>
            <w:tcW w:w="4896" w:type="dxa"/>
            <w:tcBorders>
              <w:top w:val="single" w:sz="4" w:space="0" w:color="D7DBE2"/>
              <w:left w:val="single" w:sz="4" w:space="0" w:color="D7DBE2"/>
              <w:bottom w:val="single" w:sz="4" w:space="0" w:color="D7DBE2"/>
              <w:right w:val="single" w:sz="4" w:space="0" w:color="D7DBE2"/>
            </w:tcBorders>
            <w:tcMar>
              <w:top w:w="80" w:type="dxa"/>
              <w:left w:w="120" w:type="dxa"/>
              <w:bottom w:w="80" w:type="dxa"/>
              <w:right w:w="120" w:type="dxa"/>
            </w:tcMar>
            <w:vAlign w:val="center"/>
          </w:tcPr>
          <w:p w14:paraId="6C1487FD" w14:textId="77777777" w:rsidR="001823EF" w:rsidRDefault="00000000">
            <w:pPr>
              <w:spacing w:after="0" w:line="252" w:lineRule="auto"/>
            </w:pPr>
            <w:r>
              <w:rPr>
                <w:sz w:val="21"/>
              </w:rPr>
              <w:t>Alertas consolidadas para el 14-08-2026.</w:t>
            </w:r>
          </w:p>
        </w:tc>
      </w:tr>
      <w:tr w:rsidR="001823EF" w:rsidRPr="003734CB" w14:paraId="5246EFC2" w14:textId="77777777">
        <w:tc>
          <w:tcPr>
            <w:tcW w:w="3168" w:type="dxa"/>
            <w:tcBorders>
              <w:top w:val="single" w:sz="4" w:space="0" w:color="D7DBE2"/>
              <w:left w:val="single" w:sz="4" w:space="0" w:color="D7DBE2"/>
              <w:bottom w:val="single" w:sz="4" w:space="0" w:color="D7DBE2"/>
              <w:right w:val="single" w:sz="4" w:space="0" w:color="D7DBE2"/>
            </w:tcBorders>
            <w:tcMar>
              <w:top w:w="80" w:type="dxa"/>
              <w:left w:w="120" w:type="dxa"/>
              <w:bottom w:w="80" w:type="dxa"/>
              <w:right w:w="120" w:type="dxa"/>
            </w:tcMar>
            <w:vAlign w:val="center"/>
          </w:tcPr>
          <w:p w14:paraId="4512CDF1" w14:textId="77777777" w:rsidR="001823EF" w:rsidRDefault="00000000">
            <w:pPr>
              <w:spacing w:after="0" w:line="252" w:lineRule="auto"/>
            </w:pPr>
            <w:r>
              <w:rPr>
                <w:sz w:val="21"/>
              </w:rPr>
              <w:t>Elegibles para EventBridge v1</w:t>
            </w:r>
          </w:p>
        </w:tc>
        <w:tc>
          <w:tcPr>
            <w:tcW w:w="1296" w:type="dxa"/>
            <w:tcBorders>
              <w:top w:val="single" w:sz="4" w:space="0" w:color="D7DBE2"/>
              <w:left w:val="single" w:sz="4" w:space="0" w:color="D7DBE2"/>
              <w:bottom w:val="single" w:sz="4" w:space="0" w:color="D7DBE2"/>
              <w:right w:val="single" w:sz="4" w:space="0" w:color="D7DBE2"/>
            </w:tcBorders>
            <w:tcMar>
              <w:top w:w="80" w:type="dxa"/>
              <w:left w:w="120" w:type="dxa"/>
              <w:bottom w:w="80" w:type="dxa"/>
              <w:right w:w="120" w:type="dxa"/>
            </w:tcMar>
            <w:vAlign w:val="center"/>
          </w:tcPr>
          <w:p w14:paraId="7D736ED0" w14:textId="77777777" w:rsidR="001823EF" w:rsidRDefault="00000000">
            <w:pPr>
              <w:spacing w:after="0" w:line="252" w:lineRule="auto"/>
              <w:jc w:val="center"/>
            </w:pPr>
            <w:r>
              <w:rPr>
                <w:b/>
                <w:color w:val="1F4D78"/>
                <w:sz w:val="21"/>
              </w:rPr>
              <w:t>591</w:t>
            </w:r>
          </w:p>
        </w:tc>
        <w:tc>
          <w:tcPr>
            <w:tcW w:w="4896" w:type="dxa"/>
            <w:tcBorders>
              <w:top w:val="single" w:sz="4" w:space="0" w:color="D7DBE2"/>
              <w:left w:val="single" w:sz="4" w:space="0" w:color="D7DBE2"/>
              <w:bottom w:val="single" w:sz="4" w:space="0" w:color="D7DBE2"/>
              <w:right w:val="single" w:sz="4" w:space="0" w:color="D7DBE2"/>
            </w:tcBorders>
            <w:tcMar>
              <w:top w:w="80" w:type="dxa"/>
              <w:left w:w="120" w:type="dxa"/>
              <w:bottom w:w="80" w:type="dxa"/>
              <w:right w:w="120" w:type="dxa"/>
            </w:tcMar>
            <w:vAlign w:val="center"/>
          </w:tcPr>
          <w:p w14:paraId="506F20B7" w14:textId="77777777" w:rsidR="001823EF" w:rsidRPr="003734CB" w:rsidRDefault="00000000">
            <w:pPr>
              <w:spacing w:after="0" w:line="252" w:lineRule="auto"/>
              <w:rPr>
                <w:lang w:val="es-US"/>
              </w:rPr>
            </w:pPr>
            <w:r w:rsidRPr="003734CB">
              <w:rPr>
                <w:sz w:val="21"/>
                <w:lang w:val="es-US"/>
              </w:rPr>
              <w:t>298 Crítica y 293 Alta; elegibilidad por criticidad.</w:t>
            </w:r>
          </w:p>
        </w:tc>
      </w:tr>
      <w:tr w:rsidR="001823EF" w:rsidRPr="003734CB" w14:paraId="394B564A" w14:textId="77777777">
        <w:tc>
          <w:tcPr>
            <w:tcW w:w="3168" w:type="dxa"/>
            <w:tcBorders>
              <w:top w:val="single" w:sz="4" w:space="0" w:color="D7DBE2"/>
              <w:left w:val="single" w:sz="4" w:space="0" w:color="D7DBE2"/>
              <w:bottom w:val="single" w:sz="4" w:space="0" w:color="D7DBE2"/>
              <w:right w:val="single" w:sz="4" w:space="0" w:color="D7DBE2"/>
            </w:tcBorders>
            <w:tcMar>
              <w:top w:w="80" w:type="dxa"/>
              <w:left w:w="120" w:type="dxa"/>
              <w:bottom w:w="80" w:type="dxa"/>
              <w:right w:w="120" w:type="dxa"/>
            </w:tcMar>
            <w:vAlign w:val="center"/>
          </w:tcPr>
          <w:p w14:paraId="0668D92B" w14:textId="77777777" w:rsidR="001823EF" w:rsidRDefault="00000000">
            <w:pPr>
              <w:spacing w:after="0" w:line="252" w:lineRule="auto"/>
            </w:pPr>
            <w:r>
              <w:rPr>
                <w:sz w:val="21"/>
              </w:rPr>
              <w:t>Aceptadas por el filtro</w:t>
            </w:r>
          </w:p>
        </w:tc>
        <w:tc>
          <w:tcPr>
            <w:tcW w:w="1296" w:type="dxa"/>
            <w:tcBorders>
              <w:top w:val="single" w:sz="4" w:space="0" w:color="D7DBE2"/>
              <w:left w:val="single" w:sz="4" w:space="0" w:color="D7DBE2"/>
              <w:bottom w:val="single" w:sz="4" w:space="0" w:color="D7DBE2"/>
              <w:right w:val="single" w:sz="4" w:space="0" w:color="D7DBE2"/>
            </w:tcBorders>
            <w:tcMar>
              <w:top w:w="80" w:type="dxa"/>
              <w:left w:w="120" w:type="dxa"/>
              <w:bottom w:w="80" w:type="dxa"/>
              <w:right w:w="120" w:type="dxa"/>
            </w:tcMar>
            <w:vAlign w:val="center"/>
          </w:tcPr>
          <w:p w14:paraId="7F600B7A" w14:textId="77777777" w:rsidR="001823EF" w:rsidRDefault="00000000">
            <w:pPr>
              <w:spacing w:after="0" w:line="252" w:lineRule="auto"/>
              <w:jc w:val="center"/>
            </w:pPr>
            <w:r>
              <w:rPr>
                <w:b/>
                <w:color w:val="1F4D78"/>
                <w:sz w:val="21"/>
              </w:rPr>
              <w:t>15</w:t>
            </w:r>
          </w:p>
        </w:tc>
        <w:tc>
          <w:tcPr>
            <w:tcW w:w="4896" w:type="dxa"/>
            <w:tcBorders>
              <w:top w:val="single" w:sz="4" w:space="0" w:color="D7DBE2"/>
              <w:left w:val="single" w:sz="4" w:space="0" w:color="D7DBE2"/>
              <w:bottom w:val="single" w:sz="4" w:space="0" w:color="D7DBE2"/>
              <w:right w:val="single" w:sz="4" w:space="0" w:color="D7DBE2"/>
            </w:tcBorders>
            <w:tcMar>
              <w:top w:w="80" w:type="dxa"/>
              <w:left w:w="120" w:type="dxa"/>
              <w:bottom w:w="80" w:type="dxa"/>
              <w:right w:w="120" w:type="dxa"/>
            </w:tcMar>
            <w:vAlign w:val="center"/>
          </w:tcPr>
          <w:p w14:paraId="22A544C1" w14:textId="77777777" w:rsidR="001823EF" w:rsidRPr="003734CB" w:rsidRDefault="00000000">
            <w:pPr>
              <w:spacing w:after="0" w:line="252" w:lineRule="auto"/>
              <w:rPr>
                <w:lang w:val="es-US"/>
              </w:rPr>
            </w:pPr>
            <w:r w:rsidRPr="003734CB">
              <w:rPr>
                <w:sz w:val="21"/>
                <w:lang w:val="es-US"/>
              </w:rPr>
              <w:t>Alertas críticas aprobadas por la política 2026-08-13.1.</w:t>
            </w:r>
          </w:p>
        </w:tc>
      </w:tr>
      <w:tr w:rsidR="001823EF" w:rsidRPr="003734CB" w14:paraId="0A739743" w14:textId="77777777">
        <w:tc>
          <w:tcPr>
            <w:tcW w:w="3168" w:type="dxa"/>
            <w:tcBorders>
              <w:top w:val="single" w:sz="4" w:space="0" w:color="D7DBE2"/>
              <w:left w:val="single" w:sz="4" w:space="0" w:color="D7DBE2"/>
              <w:bottom w:val="single" w:sz="4" w:space="0" w:color="D7DBE2"/>
              <w:right w:val="single" w:sz="4" w:space="0" w:color="D7DBE2"/>
            </w:tcBorders>
            <w:tcMar>
              <w:top w:w="80" w:type="dxa"/>
              <w:left w:w="120" w:type="dxa"/>
              <w:bottom w:w="80" w:type="dxa"/>
              <w:right w:w="120" w:type="dxa"/>
            </w:tcMar>
            <w:vAlign w:val="center"/>
          </w:tcPr>
          <w:p w14:paraId="1A3A14E0" w14:textId="77777777" w:rsidR="001823EF" w:rsidRDefault="00000000">
            <w:pPr>
              <w:spacing w:after="0" w:line="252" w:lineRule="auto"/>
            </w:pPr>
            <w:r>
              <w:rPr>
                <w:b/>
                <w:sz w:val="21"/>
              </w:rPr>
              <w:t>Confirmadas manualmente</w:t>
            </w:r>
          </w:p>
        </w:tc>
        <w:tc>
          <w:tcPr>
            <w:tcW w:w="1296" w:type="dxa"/>
            <w:tcBorders>
              <w:top w:val="single" w:sz="4" w:space="0" w:color="D7DBE2"/>
              <w:left w:val="single" w:sz="4" w:space="0" w:color="D7DBE2"/>
              <w:bottom w:val="single" w:sz="4" w:space="0" w:color="D7DBE2"/>
              <w:right w:val="single" w:sz="4" w:space="0" w:color="D7DBE2"/>
            </w:tcBorders>
            <w:tcMar>
              <w:top w:w="80" w:type="dxa"/>
              <w:left w:w="120" w:type="dxa"/>
              <w:bottom w:w="80" w:type="dxa"/>
              <w:right w:w="120" w:type="dxa"/>
            </w:tcMar>
            <w:vAlign w:val="center"/>
          </w:tcPr>
          <w:p w14:paraId="413F8D7F" w14:textId="09D50EAF" w:rsidR="001823EF" w:rsidRDefault="00000000">
            <w:pPr>
              <w:spacing w:after="0" w:line="252" w:lineRule="auto"/>
              <w:jc w:val="center"/>
            </w:pPr>
            <w:r>
              <w:rPr>
                <w:b/>
                <w:color w:val="1F4D78"/>
                <w:sz w:val="21"/>
              </w:rPr>
              <w:t>1</w:t>
            </w:r>
            <w:r w:rsidR="003734CB">
              <w:rPr>
                <w:b/>
                <w:color w:val="1F4D78"/>
                <w:sz w:val="21"/>
              </w:rPr>
              <w:t>3</w:t>
            </w:r>
            <w:r>
              <w:rPr>
                <w:b/>
                <w:color w:val="1F4D78"/>
                <w:sz w:val="21"/>
              </w:rPr>
              <w:t>/15</w:t>
            </w:r>
          </w:p>
        </w:tc>
        <w:tc>
          <w:tcPr>
            <w:tcW w:w="4896" w:type="dxa"/>
            <w:tcBorders>
              <w:top w:val="single" w:sz="4" w:space="0" w:color="D7DBE2"/>
              <w:left w:val="single" w:sz="4" w:space="0" w:color="D7DBE2"/>
              <w:bottom w:val="single" w:sz="4" w:space="0" w:color="D7DBE2"/>
              <w:right w:val="single" w:sz="4" w:space="0" w:color="D7DBE2"/>
            </w:tcBorders>
            <w:tcMar>
              <w:top w:w="80" w:type="dxa"/>
              <w:left w:w="120" w:type="dxa"/>
              <w:bottom w:w="80" w:type="dxa"/>
              <w:right w:w="120" w:type="dxa"/>
            </w:tcMar>
            <w:vAlign w:val="center"/>
          </w:tcPr>
          <w:p w14:paraId="3E241CD9" w14:textId="436DC7FF" w:rsidR="001823EF" w:rsidRPr="003734CB" w:rsidRDefault="003734CB">
            <w:pPr>
              <w:spacing w:after="0" w:line="252" w:lineRule="auto"/>
              <w:rPr>
                <w:lang w:val="es-US"/>
              </w:rPr>
            </w:pPr>
            <w:r>
              <w:rPr>
                <w:b/>
                <w:sz w:val="21"/>
                <w:lang w:val="es-US"/>
              </w:rPr>
              <w:t xml:space="preserve">La mayoría </w:t>
            </w:r>
            <w:r w:rsidR="00000000" w:rsidRPr="003734CB">
              <w:rPr>
                <w:b/>
                <w:sz w:val="21"/>
                <w:lang w:val="es-US"/>
              </w:rPr>
              <w:t xml:space="preserve">fueron consideradas correctas: </w:t>
            </w:r>
            <w:r>
              <w:rPr>
                <w:b/>
                <w:sz w:val="21"/>
                <w:lang w:val="es-US"/>
              </w:rPr>
              <w:t>86</w:t>
            </w:r>
            <w:r w:rsidR="00000000" w:rsidRPr="003734CB">
              <w:rPr>
                <w:b/>
                <w:sz w:val="21"/>
                <w:lang w:val="es-US"/>
              </w:rPr>
              <w:t>% de concordancia.</w:t>
            </w:r>
          </w:p>
        </w:tc>
      </w:tr>
    </w:tbl>
    <w:p w14:paraId="0F7EA46F" w14:textId="77777777" w:rsidR="001823EF" w:rsidRPr="003734CB" w:rsidRDefault="001823EF">
      <w:pPr>
        <w:spacing w:after="40"/>
        <w:rPr>
          <w:lang w:val="es-US"/>
        </w:rPr>
      </w:pPr>
    </w:p>
    <w:p w14:paraId="0876E78E" w14:textId="28BBFAB3" w:rsidR="001823EF" w:rsidRPr="003734CB" w:rsidRDefault="00000000">
      <w:pPr>
        <w:spacing w:before="80"/>
        <w:rPr>
          <w:lang w:val="es-US"/>
        </w:rPr>
      </w:pPr>
      <w:r w:rsidRPr="003734CB">
        <w:rPr>
          <w:lang w:val="es-US"/>
        </w:rPr>
        <w:t xml:space="preserve">El filtro seleccionó 15 de las 591 alertas elegibles (2,5%). La revisión manual posterior cubrió las 15 y confirmó que </w:t>
      </w:r>
      <w:r w:rsidR="003734CB">
        <w:rPr>
          <w:lang w:val="es-US"/>
        </w:rPr>
        <w:t xml:space="preserve">13 </w:t>
      </w:r>
      <w:r w:rsidRPr="003734CB">
        <w:rPr>
          <w:lang w:val="es-US"/>
        </w:rPr>
        <w:t xml:space="preserve">eran correctas, por lo que la concordancia observada fue del </w:t>
      </w:r>
      <w:r w:rsidR="003734CB">
        <w:rPr>
          <w:lang w:val="es-US"/>
        </w:rPr>
        <w:t>86</w:t>
      </w:r>
      <w:r w:rsidRPr="003734CB">
        <w:rPr>
          <w:lang w:val="es-US"/>
        </w:rPr>
        <w:t>% en el conjunto revisado.</w:t>
      </w:r>
    </w:p>
    <w:p w14:paraId="549DF306" w14:textId="77777777" w:rsidR="001823EF" w:rsidRPr="003734CB" w:rsidRDefault="00000000">
      <w:pPr>
        <w:pStyle w:val="Heading1"/>
        <w:rPr>
          <w:lang w:val="es-US"/>
        </w:rPr>
      </w:pPr>
      <w:r w:rsidRPr="003734CB">
        <w:rPr>
          <w:lang w:val="es-US"/>
        </w:rPr>
        <w:t>Alcance</w:t>
      </w:r>
    </w:p>
    <w:p w14:paraId="4A810F1C" w14:textId="77777777" w:rsidR="001823EF" w:rsidRPr="003734CB" w:rsidRDefault="00000000">
      <w:pPr>
        <w:pBdr>
          <w:left w:val="single" w:sz="18" w:space="8" w:color="2E74B5"/>
        </w:pBdr>
        <w:shd w:val="clear" w:color="auto" w:fill="F4F6F9"/>
        <w:spacing w:after="160" w:line="240" w:lineRule="auto"/>
        <w:ind w:left="173" w:right="173"/>
        <w:rPr>
          <w:lang w:val="es-US"/>
        </w:rPr>
      </w:pPr>
      <w:r w:rsidRPr="003734CB">
        <w:rPr>
          <w:color w:val="555555"/>
          <w:sz w:val="21"/>
          <w:lang w:val="es-US"/>
        </w:rPr>
        <w:t>El 100% corresponde únicamente a las alertas aceptadas y revisadas; no mide falsos negativos ni confirma una causa raíz externa. Las 591 alertas representan elegibilidad por criticidad, no entrega técnica verificada. Los resultados corresponden al detector activo en producción al momento del corte.</w:t>
      </w:r>
    </w:p>
    <w:p w14:paraId="542D8E85" w14:textId="77777777" w:rsidR="001823EF" w:rsidRDefault="00000000">
      <w:pPr>
        <w:spacing w:before="40" w:after="0"/>
      </w:pPr>
      <w:r>
        <w:rPr>
          <w:i/>
          <w:color w:val="6B7280"/>
          <w:sz w:val="18"/>
        </w:rPr>
        <w:t>Fuente: snapshot diario de Kipu y reporte accepted-only generado por Kipu Alert Reviewer.</w:t>
      </w:r>
    </w:p>
    <w:sectPr w:rsidR="001823EF"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D2C0C" w14:textId="77777777" w:rsidR="001E40F2" w:rsidRDefault="001E40F2">
      <w:pPr>
        <w:spacing w:after="0" w:line="240" w:lineRule="auto"/>
      </w:pPr>
      <w:r>
        <w:separator/>
      </w:r>
    </w:p>
  </w:endnote>
  <w:endnote w:type="continuationSeparator" w:id="0">
    <w:p w14:paraId="0817AC82" w14:textId="77777777" w:rsidR="001E40F2" w:rsidRDefault="001E40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47B5B" w14:textId="77777777" w:rsidR="001823EF" w:rsidRPr="003734CB" w:rsidRDefault="00000000">
    <w:pPr>
      <w:pStyle w:val="Footer"/>
      <w:jc w:val="right"/>
      <w:rPr>
        <w:lang w:val="es-US"/>
      </w:rPr>
    </w:pPr>
    <w:r w:rsidRPr="003734CB">
      <w:rPr>
        <w:color w:val="6B7280"/>
        <w:sz w:val="17"/>
        <w:lang w:val="es-US"/>
      </w:rPr>
      <w:t>Uso interno | 14 de agosto de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F0052" w14:textId="77777777" w:rsidR="001E40F2" w:rsidRDefault="001E40F2">
      <w:pPr>
        <w:spacing w:after="0" w:line="240" w:lineRule="auto"/>
      </w:pPr>
      <w:r>
        <w:separator/>
      </w:r>
    </w:p>
  </w:footnote>
  <w:footnote w:type="continuationSeparator" w:id="0">
    <w:p w14:paraId="0BEBDAF0" w14:textId="77777777" w:rsidR="001E40F2" w:rsidRDefault="001E40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F9DD1" w14:textId="77777777" w:rsidR="001823EF" w:rsidRPr="003734CB" w:rsidRDefault="00000000">
    <w:pPr>
      <w:pStyle w:val="Header"/>
      <w:rPr>
        <w:lang w:val="es-US"/>
      </w:rPr>
    </w:pPr>
    <w:r w:rsidRPr="003734CB">
      <w:rPr>
        <w:b/>
        <w:color w:val="6B7280"/>
        <w:sz w:val="17"/>
        <w:lang w:val="es-US"/>
      </w:rPr>
      <w:t>KIPU ALERT REVIEWER</w:t>
    </w:r>
    <w:r w:rsidRPr="003734CB">
      <w:rPr>
        <w:color w:val="6B7280"/>
        <w:sz w:val="17"/>
        <w:lang w:val="es-US"/>
      </w:rPr>
      <w:tab/>
      <w:t>RESUMEN DE VALIDACIÓN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6753243">
    <w:abstractNumId w:val="8"/>
  </w:num>
  <w:num w:numId="2" w16cid:durableId="2102678968">
    <w:abstractNumId w:val="6"/>
  </w:num>
  <w:num w:numId="3" w16cid:durableId="1449163449">
    <w:abstractNumId w:val="5"/>
  </w:num>
  <w:num w:numId="4" w16cid:durableId="2114549944">
    <w:abstractNumId w:val="4"/>
  </w:num>
  <w:num w:numId="5" w16cid:durableId="1305231974">
    <w:abstractNumId w:val="7"/>
  </w:num>
  <w:num w:numId="6" w16cid:durableId="2072457642">
    <w:abstractNumId w:val="3"/>
  </w:num>
  <w:num w:numId="7" w16cid:durableId="1982271866">
    <w:abstractNumId w:val="2"/>
  </w:num>
  <w:num w:numId="8" w16cid:durableId="499929670">
    <w:abstractNumId w:val="1"/>
  </w:num>
  <w:num w:numId="9" w16cid:durableId="1105155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23EF"/>
    <w:rsid w:val="001E40F2"/>
    <w:rsid w:val="0029639D"/>
    <w:rsid w:val="00326F90"/>
    <w:rsid w:val="003734CB"/>
    <w:rsid w:val="00AA1D8D"/>
    <w:rsid w:val="00B47730"/>
    <w:rsid w:val="00B508E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91088B"/>
  <w14:defaultImageDpi w14:val="300"/>
  <w15:docId w15:val="{5D66CA61-1D29-4905-A749-65E3200FB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183</Words>
  <Characters>1011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Resumen de validación de alertas Kipu</dc:title>
  <dc:subject>Resultados del corte del 14 de agosto de 2026</dc:subject>
  <dc:creator>Kipu Alert Reviewer</dc:creator>
  <cp:keywords>Kipu, alertas, validación, revisión manual</cp:keywords>
  <dc:description>generated by python-docx</dc:description>
  <cp:lastModifiedBy>Johan Steeven Baño Arequipa</cp:lastModifiedBy>
  <cp:revision>2</cp:revision>
  <dcterms:created xsi:type="dcterms:W3CDTF">2013-12-23T23:15:00Z</dcterms:created>
  <dcterms:modified xsi:type="dcterms:W3CDTF">2026-08-14T18:04:00Z</dcterms:modified>
  <cp:category/>
</cp:coreProperties>
</file>