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fastighetsägare/sakägare]</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 vi är inte negativt inställda till att det byggs nya bostäder i Ubbhult. Vi ser positivt på att vår del av kommunen utvecklas. Våra synpunkter handlar inte om att motsätta oss utveckling, utan om att det aktuella förslaget är olämpligt i sin nuvarande omfattning och utformning och om att planhandlingarna är behäftade med formella och materiella brister 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fyra tunga materiella miljörättsliga grunder:</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Marks kommun har dessutom under 2025 antagit detaljplaner i två andra LIS-områden (Vännåkra 2:81, Melltorp 1:31) där samma LIS-formulering tolkats som friliggande villor i 1–1,5 plan. Se punkt 8 nedan.</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och MÖD 2023:17 II (Sölvesborg) där detaljplaner upphävdes på grund av otillräcklig fladdermusutredning.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FirstParagraph"/>
      </w:pPr>
      <w:r>
        <w:t xml:space="preserve">Därutöver framförs kompletterande grunder rörande dagvatten/skyfall (punkt 5), ras/skred (punkt 6), trafiksäkerhet (punkt 7) och badplatsen (punkt 9), samt fastighetsrättsliga och formella brister: ofullständig redovisning av officialservitut (punkt 11), Lygnersvider ga:1 (punkt 10) och felaktigt val av planförfarande (punkt 12).</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 11 kap. 10 § PBL.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 4 kap. 17 § PBL,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 7 kap. 18 e § MB – de allmänna särskilda skälen (motsvarande äldre 18 c §)</w:t>
      </w:r>
    </w:p>
    <w:p>
      <w:pPr>
        <w:pStyle w:val="Compact"/>
        <w:numPr>
          <w:ilvl w:val="0"/>
          <w:numId w:val="1002"/>
        </w:numPr>
      </w:pPr>
      <w:r>
        <w:t xml:space="preserve">Nuvarande 7 kap. 18 g § MB – LIS-skälet (motsvarande äldre 18 d §)</w:t>
      </w:r>
    </w:p>
    <w:p>
      <w:pPr>
        <w:pStyle w:val="Compact"/>
        <w:numPr>
          <w:ilvl w:val="0"/>
          <w:numId w:val="1002"/>
        </w:numPr>
      </w:pPr>
      <w:r>
        <w:t xml:space="preserve">Nuvarande 7 kap. 18 i § MB –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t xml:space="preserve">"Ianspråktagen mark / sammanhållen bebyggelse" (skäl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 mål P 5876-18 (dom 2019-03-19) 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 MÖD P 9670-20 (dom 2021-03-26) 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t xml:space="preserve">Fri passage 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 MÖD P 2498-22 (dom 2023-07-06) 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t xml:space="preserve">"Hänsyn till naturvärden" (skäl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 brungroda 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 fladdermöss i hela planområdet och dess närhet.</w:t>
      </w:r>
    </w:p>
    <w:p>
      <w:pPr>
        <w:pStyle w:val="Compact"/>
        <w:numPr>
          <w:ilvl w:val="0"/>
          <w:numId w:val="1004"/>
        </w:numPr>
      </w:pPr>
      <w:r>
        <w:t xml:space="preserve">Samtliga vilda fåglar är skyddade enligt 4 § artskyddsförordningen 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t xml:space="preserve">Samtliga svenska grod- och kräldjur är fridlysta enligt 6 § artskyddsförordningen: förbud mot att döda, skada, fånga eller samla in exemplar, samt mot att ta bort eller skada ägg, rom, larver eller bon. För arter i bilaga 1 till artskyddsförordningen gäller dessutom det skarpare skyddet enligt 4 a § första stycket 4 artskyddsförordningen (motsvarande den tidigare 4 § första stycket 4 som åberopades i MÖD 2017:49) – förbud mot att skada eller förstöra deras fortplantnings- eller viloplatser.</w:t>
      </w:r>
    </w:p>
    <w:p>
      <w:pPr>
        <w:pStyle w:val="Compact"/>
        <w:numPr>
          <w:ilvl w:val="0"/>
          <w:numId w:val="1004"/>
        </w:numPr>
      </w:pPr>
      <w:r>
        <w:t xml:space="preserve">Samtliga svenska fladdermusarter är upptagna i bilaga 1 till artskyddsförordningen och omfattas av det strikta skyddet enligt 4 a § artskyddsförordningen.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 MÖD 2017:49 (mål P 11166-16, dom 2017-12-01) –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 MÖD 2014:4 (mål P 2823-13) 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 MÖD 2023:17 II (mål P 15357-21, dom 2023-10-10, Sölvesborg) 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 måttlig ekologisk status och uppnår ej god kemisk ytvattenstatus (kvicksilver och bromerade difenyletrar). Sjön är dessutom klassad som avloppskänsligt område under Avloppsvattendirektivet samt nitratkänsligt område –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 Hög) försämras direkt av exploatering inom strandskyddszonen.</w:t>
      </w:r>
    </w:p>
    <w:p>
      <w:pPr>
        <w:pStyle w:val="BodyText"/>
      </w:pPr>
      <w:r>
        <w:t xml:space="preserve">Enligt 5 kap. 4 § miljöbalken får en myndighet eller kommun inte tillåta en verksamhet eller åtgärd som ger upphov till en sådan ändring av vattenmiljön att miljökvalitetsnormer (MKN) för vatten inte kan följas, om inte de särskilda förutsättningar som anges i bestämmelsen är uppfyllda. Enligt 2 kap. 10 § PBL 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 Hög (endast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 MÖD 2013:20 (mål P 2699-12, Burlöv) 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 vårdpersonal).</w:t>
      </w:r>
    </w:p>
    <w:p>
      <w:pPr>
        <w:pStyle w:val="Compact"/>
        <w:numPr>
          <w:ilvl w:val="0"/>
          <w:numId w:val="1008"/>
        </w:numPr>
      </w:pPr>
      <w:r>
        <w:rPr>
          <w:b/>
          <w:bCs/>
        </w:rPr>
        <w:t xml:space="preserve">Behovet av åtgärder och underhåll utanför planområdet</w:t>
      </w:r>
      <w:r>
        <w:t xml:space="preserve"> </w:t>
      </w:r>
      <w:r>
        <w:t xml:space="preserve">är inte adresserat. Jägmästarvägen förvaltas av den lokala samfällighetsföreningen (Lygnersvider ga:1) som ensam ansvarar för väghållningen söder om planområdet. Den ökade trafiken kommer slita på sträckor som inte uppgraderas men trafikeras väsentligt mer, utan att finansiella resurser tilldelats för uppgradering.</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t xml:space="preserve">Barnperspektivet –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p>
      <w:pPr>
        <w:pStyle w:val="BodyText"/>
      </w:pPr>
      <w:r>
        <w:rPr>
          <w:b/>
          <w:bCs/>
        </w:rPr>
        <w:t xml:space="preserve">Finansieringsansvar:</w:t>
      </w:r>
      <w:r>
        <w:t xml:space="preserve"> </w:t>
      </w:r>
      <w:r>
        <w:t xml:space="preserve">Det är en grundläggande planprincip att den som genererar en kostnad bör bära den. Den ökade trafiken, eventuella förstärkningsåtgärder och de ökade underhållskostnaderna är direkta följder av exploateringen och bör inte ensidigt belasta befintliga delägare i samfällighetsföreningen för Lygnersvider ga:1 (se vidare punkt 10). Vi yrkar att frågan om</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och att exploateringsavtalet redovisas inför granskningsskedet.</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 självständig planeringsförutsättning 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 Sätila tätort –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 4 kap. 33 § första stycket 5 PBL 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påverkar samtliga nuvarande delägare väsentligt:</w:t>
      </w:r>
    </w:p>
    <w:p>
      <w:pPr>
        <w:pStyle w:val="Compact"/>
        <w:numPr>
          <w:ilvl w:val="0"/>
          <w:numId w:val="1011"/>
        </w:numPr>
      </w:pPr>
      <w:r>
        <w:rPr>
          <w:b/>
          <w:bCs/>
        </w:rPr>
        <w:t xml:space="preserve">Andelstal och kostnadsfördelning</w:t>
      </w:r>
      <w:r>
        <w:t xml:space="preserve"> </w:t>
      </w:r>
      <w:r>
        <w:t xml:space="preserve">ändras – samtliga befintliga delägare påverkas av att nya andelar tillkommer och av hur Lantmäteriet sätter andelstalen för de nya fastigheterna. Anslutning prövas av Lantmäteriet enligt anläggningslagen 42 a och 43 §§.</w:t>
      </w:r>
    </w:p>
    <w:p>
      <w:pPr>
        <w:pStyle w:val="Compact"/>
        <w:numPr>
          <w:ilvl w:val="0"/>
          <w:numId w:val="1011"/>
        </w:numPr>
      </w:pPr>
      <w:r>
        <w:rPr>
          <w:b/>
          <w:bCs/>
        </w:rPr>
        <w:t xml:space="preserve">Slitage och underhållsbörda</w:t>
      </w:r>
      <w:r>
        <w:t xml:space="preserve"> </w:t>
      </w:r>
      <w:r>
        <w:t xml:space="preserve">ökar – särskilt på den del av Jägmästarvägen söder om planområdet som inte uppgraderas men trafikeras väsentligt mer. Kostnaden för anläggningens kapacitetshöjning, slitage och underhåll under och efter genomförandetiden ligger på sträckor och anläggningar som föreningen och dess delägare förvaltar (se även punkt 7 om finansieringsansvar).</w:t>
      </w:r>
    </w:p>
    <w:p>
      <w:pPr>
        <w:pStyle w:val="Compact"/>
        <w:numPr>
          <w:ilvl w:val="0"/>
          <w:numId w:val="1011"/>
        </w:numPr>
      </w:pPr>
      <w:r>
        <w:rPr>
          <w:b/>
          <w:bCs/>
        </w:rPr>
        <w:t xml:space="preserve">Föreningens administrativa börda</w:t>
      </w:r>
      <w:r>
        <w:t xml:space="preserve"> </w:t>
      </w:r>
      <w:r>
        <w:t xml:space="preserve">ökar – införlivande av ett betydande antal nya delägare medför arbete med uppdatering av andelstal, debitering, stämmoförvaltning och eventuell omprövning av anläggningsbeslut.</w:t>
      </w:r>
    </w:p>
    <w:p>
      <w:pPr>
        <w:pStyle w:val="FirstParagraph"/>
      </w:pPr>
      <w:r>
        <w:t xml:space="preserve">De skyddsregler för deltagande fastigheter som följer av 5 och 6 §§ AL kan enligt 6 a § AL undantas om detaljplanen innehåller en bestämmelse om gemensamhetsanläggning och Lantmäteriets beslut fattas under planens genomförandetid. Det innebär att de normala skyddsreglerna för befintliga delägare riskerar att sättas ur spel av planen själv. Konsekvenserna för befintliga delägare måste därför redovisas och utredas redan i planhandlingarna, inte hänvisas till en senare lantmäteriförrättning där skyddsreglerna inte längre gäller.</w:t>
      </w:r>
    </w:p>
    <w:p>
      <w:pPr>
        <w:pStyle w:val="BodyText"/>
      </w:pPr>
      <w:r>
        <w:t xml:space="preserve">Vi begär:</w:t>
      </w:r>
    </w:p>
    <w:p>
      <w:pPr>
        <w:pStyle w:val="Compact"/>
        <w:numPr>
          <w:ilvl w:val="0"/>
          <w:numId w:val="1012"/>
        </w:numPr>
      </w:pPr>
      <w:r>
        <w:t xml:space="preserve">Att samfällighetsföreningen för Lygnersvider ga:1 kallas som sakägare och bereds tillfälle att yttra sig.</w:t>
      </w:r>
    </w:p>
    <w:p>
      <w:pPr>
        <w:pStyle w:val="Compact"/>
        <w:numPr>
          <w:ilvl w:val="0"/>
          <w:numId w:val="1012"/>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2"/>
        </w:numPr>
      </w:pPr>
      <w:r>
        <w:t xml:space="preserve">Att planbeskrivningen omformuleras så att den korrekt återger att frågan om servitutens fortsatta giltighet och om GA-anslutning prövas av Lantmäteriet, inte i planprocessen.</w:t>
      </w:r>
    </w:p>
    <w:p>
      <w:pPr>
        <w:pStyle w:val="Compact"/>
        <w:numPr>
          <w:ilvl w:val="0"/>
          <w:numId w:val="1012"/>
        </w:numPr>
      </w:pPr>
      <w:r>
        <w:t xml:space="preserve">Att</w:t>
      </w:r>
      <w:r>
        <w:t xml:space="preserve"> </w:t>
      </w:r>
      <w:r>
        <w:rPr>
          <w:b/>
          <w:bCs/>
        </w:rPr>
        <w:t xml:space="preserve">kostnadsansvar för utbyggnad och underhåll av Jägmästarvägen regleras i exploateringsavtal</w:t>
      </w:r>
      <w:r>
        <w:t xml:space="preserve"> </w:t>
      </w:r>
      <w:r>
        <w:t xml:space="preserve">mellan kommunen och exploatören enligt 5 kap. 13 § PBL (se punkt 7), så att ekonomiska konsekvenser av exploateringen inte ensidigt belastar befintliga delägare i föreningen.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3"/>
        </w:numPr>
      </w:pPr>
      <w:r>
        <w:t xml:space="preserve">1463-1017.G (vägrätt, förmån Ubbhult 2:11)</w:t>
      </w:r>
    </w:p>
    <w:p>
      <w:pPr>
        <w:pStyle w:val="Compact"/>
        <w:numPr>
          <w:ilvl w:val="0"/>
          <w:numId w:val="1013"/>
        </w:numPr>
      </w:pPr>
      <w:r>
        <w:t xml:space="preserve">15-SÄT-914.A (vägrätt, förmån Ubbhult 2:8 och 2:9)</w:t>
      </w:r>
    </w:p>
    <w:p>
      <w:pPr>
        <w:pStyle w:val="Compact"/>
        <w:numPr>
          <w:ilvl w:val="0"/>
          <w:numId w:val="1013"/>
        </w:numPr>
      </w:pPr>
      <w:r>
        <w:t xml:space="preserve">15-SÄT-914.B (bad- och båtplats, förmån Ubbhult 2:9, belastar 2:2 och 2:11) – jfr punkt 9</w:t>
      </w:r>
    </w:p>
    <w:p>
      <w:pPr>
        <w:pStyle w:val="Compact"/>
        <w:numPr>
          <w:ilvl w:val="0"/>
          <w:numId w:val="1013"/>
        </w:numPr>
      </w:pPr>
      <w:r>
        <w:t xml:space="preserve">15-SÄT-603.C (vägrätt, förmån Ubbhult 2:4)</w:t>
      </w:r>
    </w:p>
    <w:p>
      <w:pPr>
        <w:pStyle w:val="Compact"/>
        <w:numPr>
          <w:ilvl w:val="0"/>
          <w:numId w:val="1013"/>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4"/>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4"/>
        </w:numPr>
      </w:pPr>
      <w:r>
        <w:rPr>
          <w:b/>
          <w:bCs/>
        </w:rPr>
        <w:t xml:space="preserve">Oklarhet om planhandlingarnas slutgiltiga form.</w:t>
      </w:r>
      <w:r>
        <w:t xml:space="preserve"> </w:t>
      </w:r>
      <w:r>
        <w:t xml:space="preserve">Planbeskrivningen anger "Plankarta 2026-02-16", medan den publicerade plankartan är daterad 2026-04-29. I MÖD 2022:5 (mål P 7791-21) 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4"/>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4"/>
        </w:numPr>
      </w:pPr>
      <w:r>
        <w:rPr>
          <w:b/>
          <w:bCs/>
        </w:rPr>
        <w:t xml:space="preserve">Felaktigt val av planförfarande.</w:t>
      </w:r>
      <w:r>
        <w:t xml:space="preserve"> </w:t>
      </w:r>
      <w:r>
        <w:t xml:space="preserve">Kommunen hanterar planen med standardförfarande. Enligt 5 kap. 7 § första stycket PBL 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5"/>
        </w:numPr>
      </w:pPr>
      <w:r>
        <w:t xml:space="preserve">Otillräckligt motiverat strandskyddsupphävande (4 kap. 17 § PBL och 7 kap. 18 e, 18 g, 18 i §§ MB, motsvarande äldre 18 c, 18 d, 18 f §§) – punkt 1.</w:t>
      </w:r>
    </w:p>
    <w:p>
      <w:pPr>
        <w:pStyle w:val="Compact"/>
        <w:numPr>
          <w:ilvl w:val="0"/>
          <w:numId w:val="1015"/>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5"/>
        </w:numPr>
      </w:pPr>
      <w:r>
        <w:t xml:space="preserve">Bristfällig undersökning av betydande miljöpåverkan (6 kap. 5–8 §§ MB) – punkt 3.</w:t>
      </w:r>
    </w:p>
    <w:p>
      <w:pPr>
        <w:pStyle w:val="Compact"/>
        <w:numPr>
          <w:ilvl w:val="0"/>
          <w:numId w:val="1015"/>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6"/>
        </w:numPr>
      </w:pPr>
      <w:r>
        <w:t xml:space="preserve">Ej säkerställd dagvatten-/skyfallshantering (2 kap. 5 § p. 1, 2 och 5 PBL) – punkt 5.</w:t>
      </w:r>
    </w:p>
    <w:p>
      <w:pPr>
        <w:pStyle w:val="Compact"/>
        <w:numPr>
          <w:ilvl w:val="0"/>
          <w:numId w:val="1016"/>
        </w:numPr>
      </w:pPr>
      <w:r>
        <w:t xml:space="preserve">Ej säkerställd hantering av ras- och skredrisk (2 kap. 5 § p. 1 PBL) – punkt 6.</w:t>
      </w:r>
    </w:p>
    <w:p>
      <w:pPr>
        <w:pStyle w:val="Compact"/>
        <w:numPr>
          <w:ilvl w:val="0"/>
          <w:numId w:val="1016"/>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7"/>
        </w:numPr>
      </w:pPr>
      <w:r>
        <w:t xml:space="preserve">Bristande anpassning till områdets karaktär och avvikelse från LIS-tilläggets krav på småskalighet (2 kap. 6 § PBL) – punkt 8.</w:t>
      </w:r>
    </w:p>
    <w:p>
      <w:pPr>
        <w:pStyle w:val="Compact"/>
        <w:numPr>
          <w:ilvl w:val="0"/>
          <w:numId w:val="1017"/>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8"/>
        </w:numPr>
      </w:pPr>
      <w:r>
        <w:t xml:space="preserve">Otydlig hantering av Lygnersvider ga:1 och föregripande av Lantmäteriets prövning – punkt 10.</w:t>
      </w:r>
    </w:p>
    <w:p>
      <w:pPr>
        <w:pStyle w:val="Compact"/>
        <w:numPr>
          <w:ilvl w:val="0"/>
          <w:numId w:val="1018"/>
        </w:numPr>
      </w:pPr>
      <w:r>
        <w:t xml:space="preserve">Ofullständig planbeskrivning (4 kap. 33 § PBL) – punkt 11.</w:t>
      </w:r>
    </w:p>
    <w:p>
      <w:pPr>
        <w:pStyle w:val="Compact"/>
        <w:numPr>
          <w:ilvl w:val="0"/>
          <w:numId w:val="1018"/>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Skärmdump av kommunens projektsida 2026-05-18 (visande rubriken "HÅKANKILA 1:19", kan tillhandahållas vid begäran).</w:t>
      </w:r>
      <w:r>
        <w:br/>
      </w:r>
      <w:r>
        <w:t xml:space="preserve">Bilaga 2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2026-05-22T21:58:28Z</dcterms:created>
  <dcterms:modified xsi:type="dcterms:W3CDTF">2026-05-22T21:58:28Z</dcterms:modified>
</cp:coreProperties>
</file>

<file path=docProps/custom.xml><?xml version="1.0" encoding="utf-8"?>
<Properties xmlns="http://schemas.openxmlformats.org/officeDocument/2006/custom-properties" xmlns:vt="http://schemas.openxmlformats.org/officeDocument/2006/docPropsVTypes"/>
</file>