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Förslag – kollektivt yttrande, Detaljplan PLAN.2024.747</w:t>
      </w:r>
    </w:p>
    <w:p>
      <w:pPr>
        <w:pStyle w:val="FirstParagraph"/>
      </w:pPr>
      <w:r>
        <w:rPr>
          <w:b/>
          <w:bCs/>
        </w:rPr>
        <w:t xml:space="preserve">UTKAST.</w:t>
      </w:r>
      <w:r>
        <w:t xml:space="preserve"> </w:t>
      </w:r>
      <w:r>
        <w:t xml:space="preserve">Detta dokument är ett utkast/mall för kollektivt yttrande. Korrekturläs noggrant, anpassa till era förhållanden och var införstådd med innehållet innan inlämning till myndighet. Underlag, rättskällor och referensplaner finns på</w:t>
      </w:r>
      <w:r>
        <w:t xml:space="preserve"> </w:t>
      </w:r>
      <w:hyperlink r:id="rId9">
        <w:r>
          <w:rPr>
            <w:rStyle w:val="Hyperlink"/>
          </w:rPr>
          <w:t xml:space="preserve">github.com/johanclawson/oresjon_samradsyttrande</w:t>
        </w:r>
      </w:hyperlink>
      <w:r>
        <w:t xml:space="preserve">.</w:t>
      </w:r>
    </w:p>
    <w:p>
      <w:pPr>
        <w:pStyle w:val="BodyText"/>
      </w:pPr>
      <w:r>
        <w:rPr>
          <w:b/>
          <w:bCs/>
        </w:rPr>
        <w:t xml:space="preserve">Till:</w:t>
      </w:r>
      <w:r>
        <w:t xml:space="preserve"> </w:t>
      </w:r>
      <w:r>
        <w:t xml:space="preserve">Marks kommun, Plan- och byggenheten</w:t>
      </w:r>
      <w:r>
        <w:br/>
      </w:r>
      <w:r>
        <w:rPr>
          <w:b/>
          <w:bCs/>
        </w:rPr>
        <w:t xml:space="preserve">E-post:</w:t>
      </w:r>
      <w:r>
        <w:t xml:space="preserve"> </w:t>
      </w:r>
      <w:r>
        <w:t xml:space="preserve">planochbyggenheten@mark.se</w:t>
      </w:r>
      <w:r>
        <w:br/>
      </w:r>
      <w:r>
        <w:rPr>
          <w:b/>
          <w:bCs/>
        </w:rPr>
        <w:t xml:space="preserve">Ärende:</w:t>
      </w:r>
      <w:r>
        <w:t xml:space="preserve"> </w:t>
      </w:r>
      <w:r>
        <w:t xml:space="preserve">Yttrande över samråd – Detaljplan för bostäder, Ubbhult 2:2 och Håkankila 1:8, Sätila</w:t>
      </w:r>
      <w:r>
        <w:br/>
      </w:r>
      <w:r>
        <w:rPr>
          <w:b/>
          <w:bCs/>
        </w:rPr>
        <w:t xml:space="preserve">Diarienummer:</w:t>
      </w:r>
      <w:r>
        <w:t xml:space="preserve"> </w:t>
      </w:r>
      <w:r>
        <w:t xml:space="preserve">PLAN.2024.747</w:t>
      </w:r>
      <w:r>
        <w:br/>
      </w:r>
      <w:r>
        <w:rPr>
          <w:b/>
          <w:bCs/>
        </w:rPr>
        <w:t xml:space="preserve">Datum:</w:t>
      </w:r>
      <w:r>
        <w:t xml:space="preserve"> </w:t>
      </w:r>
      <w:r>
        <w:t xml:space="preserve">2026-05-25</w:t>
      </w:r>
      <w:r>
        <w:br/>
      </w:r>
      <w:r>
        <w:rPr>
          <w:b/>
          <w:bCs/>
        </w:rPr>
        <w:t xml:space="preserve">Avsändare:</w:t>
      </w:r>
      <w:r>
        <w:t xml:space="preserve"> </w:t>
      </w:r>
      <w:r>
        <w:t xml:space="preserve">[Undertecknande fastighetsägare enligt bilagd förteckning]</w:t>
      </w:r>
    </w:p>
    <w:p>
      <w:r>
        <w:pict>
          <v:rect style="width:0;height:1.5pt" o:hralign="center" o:hrstd="t" o:hr="t"/>
        </w:pict>
      </w:r>
    </w:p>
    <w:bookmarkStart w:id="10" w:name="inledning"/>
    <w:p>
      <w:pPr>
        <w:pStyle w:val="Heading2"/>
      </w:pPr>
      <w:r>
        <w:t xml:space="preserve">Inledning</w:t>
      </w:r>
    </w:p>
    <w:p>
      <w:pPr>
        <w:pStyle w:val="FirstParagraph"/>
      </w:pPr>
      <w:r>
        <w:t xml:space="preserve">Undertecknande fastighetsägare har tagit del av samrådshandlingarna och lämnar härmed gemensamma synpunkter på rubricerat detaljplaneförslag. Samtliga undertecknande är fastighetsägare, sakägare eller rättighetshavare i förhållande till planområdet enligt 5 kap. 11 § plan- och bygglagen (2010:900, PBL). Underlag, rättskällor och referensplaner som åberopas i yttrandet finns dokumenterade på</w:t>
      </w:r>
      <w:r>
        <w:t xml:space="preserve"> </w:t>
      </w:r>
      <w:hyperlink r:id="rId9">
        <w:r>
          <w:rPr>
            <w:rStyle w:val="Hyperlink"/>
          </w:rPr>
          <w:t xml:space="preserve">github.com/johanclawson/oresjon_samradsyttrande</w:t>
        </w:r>
      </w:hyperlink>
      <w:r>
        <w:t xml:space="preserve">.</w:t>
      </w:r>
    </w:p>
    <w:p>
      <w:pPr>
        <w:pStyle w:val="BodyText"/>
      </w:pPr>
      <w:r>
        <w:t xml:space="preserve">Vi vill inledningsvis vara tydliga:</w:t>
      </w:r>
      <w:r>
        <w:t xml:space="preserve"> </w:t>
      </w:r>
      <w:r>
        <w:rPr>
          <w:b/>
          <w:bCs/>
        </w:rPr>
        <w:t xml:space="preserve">vi är inte negativt inställda till att det byggs nya bostäder i Ubbhult</w:t>
      </w:r>
      <w:r>
        <w:t xml:space="preserve">. Vi ser positivt på att vår del av kommunen utvecklas. Våra synpunkter handlar inte om att motsätta oss utveckling, utan om att</w:t>
      </w:r>
      <w:r>
        <w:t xml:space="preserve"> </w:t>
      </w:r>
      <w:r>
        <w:rPr>
          <w:b/>
          <w:bCs/>
        </w:rPr>
        <w:t xml:space="preserve">det aktuella förslaget är olämpligt i sin nuvarande omfattning och utformning</w:t>
      </w:r>
      <w:r>
        <w:t xml:space="preserve"> </w:t>
      </w:r>
      <w:r>
        <w:t xml:space="preserve">och om att</w:t>
      </w:r>
      <w:r>
        <w:t xml:space="preserve"> </w:t>
      </w:r>
      <w:r>
        <w:rPr>
          <w:b/>
          <w:bCs/>
        </w:rPr>
        <w:t xml:space="preserve">planhandlingarna är behäftade med formella och materiella brister</w:t>
      </w:r>
      <w:r>
        <w:t xml:space="preserve"> </w:t>
      </w:r>
      <w:r>
        <w:t xml:space="preserve">som hindrar en saklig prövning. Vi vill också understryka att Länsstyrelsen i Västra Götalands län i sitt granskningsyttrande över Fördjupad översiktsplan (FÖP) Mark Nordväst (2023-01-31, dnr 401-50227-2022) redan har kritiserat flera av de brister vi lyfter. Dessa brister kvarstår i föreliggande detaljplan.</w:t>
      </w:r>
    </w:p>
    <w:bookmarkEnd w:id="10"/>
    <w:bookmarkStart w:id="11" w:name="översikt-huvudgrunder"/>
    <w:p>
      <w:pPr>
        <w:pStyle w:val="Heading2"/>
      </w:pPr>
      <w:r>
        <w:t xml:space="preserve">Översikt – huvudgrunder</w:t>
      </w:r>
    </w:p>
    <w:p>
      <w:pPr>
        <w:pStyle w:val="FirstParagraph"/>
      </w:pPr>
      <w:r>
        <w:t xml:space="preserve">Detta yttrande gör gällande att planen i nuvarande form bör omarbetas väsentligt eller inte antas, primärt på följande sex tunga grunder:</w:t>
      </w:r>
    </w:p>
    <w:p>
      <w:pPr>
        <w:pStyle w:val="Compact"/>
        <w:numPr>
          <w:ilvl w:val="0"/>
          <w:numId w:val="1001"/>
        </w:numPr>
      </w:pPr>
      <w:r>
        <w:rPr>
          <w:b/>
          <w:bCs/>
        </w:rPr>
        <w:t xml:space="preserve">Artskyddet är inte säkrat och miljökonsekvensbeskrivning saknas</w:t>
      </w:r>
      <w:r>
        <w:t xml:space="preserve"> </w:t>
      </w:r>
      <w:r>
        <w:t xml:space="preserve">– planområdet är typisk fladdermushabitat (bilaga IV Art- och habitatdirektivet) och inventering har inte genomförts. Stark analogi till MÖD 2017:49 (Vadstena) där en detaljplan upphävdes på grund av otillräcklig MKB-analys av fladdermöss. Se punkt 2 och 3 nedan.</w:t>
      </w:r>
    </w:p>
    <w:p>
      <w:pPr>
        <w:pStyle w:val="Compact"/>
        <w:numPr>
          <w:ilvl w:val="0"/>
          <w:numId w:val="1001"/>
        </w:numPr>
      </w:pPr>
      <w:r>
        <w:rPr>
          <w:b/>
          <w:bCs/>
        </w:rPr>
        <w:t xml:space="preserve">Strandskyddsupphävandet är otillräckligt motiverat</w:t>
      </w:r>
      <w:r>
        <w:t xml:space="preserve"> </w:t>
      </w:r>
      <w:r>
        <w:t xml:space="preserve">– LIS-skälet är internt motsägelsefullt, "ianspråktagen mark"-skälet håller inte mot förhållandena på platsen, fri passage är inte säkrad som planbestämmelse på plankartan. MÖD P 5876-18, P 9670-20 och P 2498-22 är direkt relevanta. Se punkt 1 nedan.</w:t>
      </w:r>
    </w:p>
    <w:p>
      <w:pPr>
        <w:pStyle w:val="Compact"/>
        <w:numPr>
          <w:ilvl w:val="0"/>
          <w:numId w:val="1001"/>
        </w:numPr>
      </w:pPr>
      <w:r>
        <w:rPr>
          <w:b/>
          <w:bCs/>
        </w:rPr>
        <w:t xml:space="preserve">Miljökvalitetsnormer för vatten kan inte följas utan särskild utredning</w:t>
      </w:r>
      <w:r>
        <w:t xml:space="preserve"> </w:t>
      </w:r>
      <w:r>
        <w:t xml:space="preserve">– Stora Öresjön uppnår enligt planbeskrivningens egna uppgifter inte kvalitetskravet "God ekologisk status 2033"; försämringsförbudet enligt 5 kap. 4 § MB och Weser-domen (C-461/13) kräver en konkret analys. Se punkt 4 nedan.</w:t>
      </w:r>
    </w:p>
    <w:p>
      <w:pPr>
        <w:pStyle w:val="Compact"/>
        <w:numPr>
          <w:ilvl w:val="0"/>
          <w:numId w:val="1001"/>
        </w:numPr>
      </w:pPr>
      <w:r>
        <w:rPr>
          <w:b/>
          <w:bCs/>
        </w:rPr>
        <w:t xml:space="preserve">Bristande anpassning till områdets karaktär och avvikelse från LIS-tilläggets krav på småskalighet</w:t>
      </w:r>
      <w:r>
        <w:t xml:space="preserve"> </w:t>
      </w:r>
      <w:r>
        <w:t xml:space="preserve">– LIS-tillägget kräver uttryckligen för LIS 06B SJÖDAL att bebyggelsen</w:t>
      </w:r>
      <w:r>
        <w:t xml:space="preserve"> </w:t>
      </w:r>
      <w:r>
        <w:rPr>
          <w:i/>
          <w:iCs/>
        </w:rPr>
        <w:t xml:space="preserve">"bör utformas småskaligt och smälta in i omgivande natur och bebyggelse"</w:t>
      </w:r>
      <w:r>
        <w:t xml:space="preserve">. Den föreslagna bebyggelsen med radhus, kedjehus och parhus i upp till två våningar uppfyller inte detta krav och strider mot 2 kap. 6 § första stycket 1 PBL. Se punkt 8 nedan.</w:t>
      </w:r>
    </w:p>
    <w:p>
      <w:pPr>
        <w:pStyle w:val="Compact"/>
        <w:numPr>
          <w:ilvl w:val="0"/>
          <w:numId w:val="1001"/>
        </w:numPr>
      </w:pPr>
      <w:r>
        <w:rPr>
          <w:b/>
          <w:bCs/>
        </w:rPr>
        <w:t xml:space="preserve">Planbeskrivningen är väsentligt ofullständig vad gäller officialservitut och fastighetsrättsliga konsekvenser</w:t>
      </w:r>
      <w:r>
        <w:t xml:space="preserve"> </w:t>
      </w:r>
      <w:r>
        <w:t xml:space="preserve">– brott mot 4 kap. 33 § PBL och föregriper Lantmäteriets prövning. Se punkt 11 nedan (med direkt anknytning till punkt 9 och 10).</w:t>
      </w:r>
    </w:p>
    <w:p>
      <w:pPr>
        <w:pStyle w:val="Compact"/>
        <w:numPr>
          <w:ilvl w:val="0"/>
          <w:numId w:val="1001"/>
        </w:numPr>
      </w:pPr>
      <w:r>
        <w:rPr>
          <w:b/>
          <w:bCs/>
        </w:rPr>
        <w:t xml:space="preserve">Felaktigt val av planförfarande – ett självständigt processuellt fel</w:t>
      </w:r>
      <w:r>
        <w:t xml:space="preserve"> </w:t>
      </w:r>
      <w:r>
        <w:t xml:space="preserve">– med hänsyn till de materiella grunder som anförs i punkterna 1–4 ovan och de fastighetsrättsliga konsekvenserna i punkterna 10–11 är planen av betydande intresse för allmänheten och kan antas medföra betydande miljöpåverkan. Standardförfarande är därmed inte tillämpligt enligt 5 kap. 7 § första stycket 2 och 3 PBL; planen borde ha hanterats med utökat förfarande. Se punkt 12 nedan.</w:t>
      </w:r>
    </w:p>
    <w:p>
      <w:pPr>
        <w:pStyle w:val="FirstParagraph"/>
      </w:pPr>
      <w:r>
        <w:t xml:space="preserve">Därutöver framförs kompletterande grunder rörande dagvatten/skyfall (punkt 5), ras/skred (punkt 6), trafiksäkerhet (punkt 7), badplatsen (punkt 9) samt Lygnersvider ga:1 (punkt 10).</w:t>
      </w:r>
    </w:p>
    <w:bookmarkEnd w:id="11"/>
    <w:bookmarkStart w:id="12" w:name="yrkanden"/>
    <w:p>
      <w:pPr>
        <w:pStyle w:val="Heading2"/>
      </w:pPr>
      <w:r>
        <w:t xml:space="preserve">Yrkanden</w:t>
      </w:r>
    </w:p>
    <w:p>
      <w:pPr>
        <w:pStyle w:val="FirstParagraph"/>
      </w:pPr>
      <w:r>
        <w:t xml:space="preserve">Vi yrkar i första hand</w:t>
      </w:r>
      <w:r>
        <w:t xml:space="preserve"> </w:t>
      </w:r>
      <w:r>
        <w:rPr>
          <w:b/>
          <w:bCs/>
        </w:rPr>
        <w:t xml:space="preserve">att förslaget omarbetas väsentligt och förs till nytt samråd</w:t>
      </w:r>
      <w:r>
        <w:t xml:space="preserve">, så att bebyggelsen utformas i enlighet med LIS-tilläggets uttryckliga krav på småskalighet och anpassning till områdets karaktär (2 kap. 6 § PBL), planhandlingarna korrigeras, och en fullständig redovisning enligt 4 kap. 33 § PBL upprättas.</w:t>
      </w:r>
    </w:p>
    <w:p>
      <w:pPr>
        <w:pStyle w:val="BodyText"/>
      </w:pPr>
      <w:r>
        <w:t xml:space="preserve">I andra hand yrkas</w:t>
      </w:r>
      <w:r>
        <w:t xml:space="preserve"> </w:t>
      </w:r>
      <w:r>
        <w:rPr>
          <w:b/>
          <w:bCs/>
        </w:rPr>
        <w:t xml:space="preserve">att planhandlingarna kompletteras</w:t>
      </w:r>
      <w:r>
        <w:t xml:space="preserve"> </w:t>
      </w:r>
      <w:r>
        <w:t xml:space="preserve">enligt punkterna nedan innan planen förs till granskning, samt att ny samrådsrunda hålls.</w:t>
      </w:r>
    </w:p>
    <w:p>
      <w:pPr>
        <w:pStyle w:val="BodyText"/>
      </w:pPr>
      <w:r>
        <w:t xml:space="preserve">I tredje hand – om kommunen inte tillgodoser något av ovanstående – yrkas</w:t>
      </w:r>
      <w:r>
        <w:t xml:space="preserve"> </w:t>
      </w:r>
      <w:r>
        <w:rPr>
          <w:b/>
          <w:bCs/>
        </w:rPr>
        <w:t xml:space="preserve">att kommunen inte antar detaljplanen</w:t>
      </w:r>
      <w:r>
        <w:t xml:space="preserve"> </w:t>
      </w:r>
      <w:r>
        <w:t xml:space="preserve">i dess nuvarande utformning.</w:t>
      </w:r>
    </w:p>
    <w:p>
      <w:pPr>
        <w:pStyle w:val="BodyText"/>
      </w:pPr>
      <w:r>
        <w:t xml:space="preserve">Vidare yrkas</w:t>
      </w:r>
      <w:r>
        <w:t xml:space="preserve"> </w:t>
      </w:r>
      <w:r>
        <w:rPr>
          <w:b/>
          <w:bCs/>
        </w:rPr>
        <w:t xml:space="preserve">att Länsstyrelsen i Västra Götalands län särskilt yttrar sig</w:t>
      </w:r>
      <w:r>
        <w:t xml:space="preserve"> </w:t>
      </w:r>
      <w:r>
        <w:t xml:space="preserve">över de strandskydds-, artskydds-, MKN- och översvämningsfrågor som anförs nedan, med hänvisning till Länsstyrelsens prövningsplikt enligt</w:t>
      </w:r>
      <w:r>
        <w:t xml:space="preserve"> </w:t>
      </w:r>
      <w:r>
        <w:rPr>
          <w:b/>
          <w:bCs/>
        </w:rPr>
        <w:t xml:space="preserve">11 kap. 10 § PBL</w:t>
      </w:r>
      <w:r>
        <w:t xml:space="preserve">. Länsstyrelsen ska enligt 11 kap. 10 § första stycket PBL inom tre veckor från meddelandet om antagandebeslutet besluta om planen ska prövas. Grunderna för prövning anges i 11 kap. 10 § andra stycket PBL och omfattar bl.a. miljökvalitetsnormer, strandskydd samt hälsa, säkerhet och översvämning.</w:t>
      </w:r>
    </w:p>
    <w:bookmarkEnd w:id="12"/>
    <w:bookmarkStart w:id="13" w:name="grunder"/>
    <w:p>
      <w:pPr>
        <w:pStyle w:val="Heading2"/>
      </w:pPr>
      <w:r>
        <w:t xml:space="preserve">Grunder</w:t>
      </w:r>
    </w:p>
    <w:bookmarkEnd w:id="13"/>
    <w:bookmarkStart w:id="21" w:name="Xcd40aac22d21782080e4b23ad3698bf7a0e1974"/>
    <w:p>
      <w:pPr>
        <w:pStyle w:val="Heading2"/>
      </w:pPr>
      <w:r>
        <w:t xml:space="preserve">A. Materiella miljörättsliga grunder (punkt 1–4)</w:t>
      </w:r>
    </w:p>
    <w:bookmarkStart w:id="14" w:name="Xacfb063d42d042abeed23d4350490c0a46717fb"/>
    <w:p>
      <w:pPr>
        <w:pStyle w:val="Heading3"/>
      </w:pPr>
      <w:r>
        <w:t xml:space="preserve">1. Otillräckligt motiverat strandskyddsupphävande – 4 kap. 17 § PBL och 7 kap. miljöbalken</w:t>
      </w:r>
    </w:p>
    <w:p>
      <w:pPr>
        <w:pStyle w:val="FirstParagraph"/>
      </w:pPr>
      <w:r>
        <w:t xml:space="preserve">Planen upphäver strandskyddet på ca 3,2 hektar (32 000 m²) vid Stora Öresjön och Brearetjärnen. Prövningen sker enligt</w:t>
      </w:r>
      <w:r>
        <w:t xml:space="preserve"> </w:t>
      </w:r>
      <w:r>
        <w:rPr>
          <w:b/>
          <w:bCs/>
        </w:rPr>
        <w:t xml:space="preserve">4 kap. 17 § PBL</w:t>
      </w:r>
      <w:r>
        <w:t xml:space="preserve">, som hänvisar till särskilda skäl i miljöbalken. För ett sådant upphävande krävs två saker: kommunen måste visa att ett särskilt skäl föreligger, och en fri passage ska lämnas mellan strandlinje och bebyggelse.</w:t>
      </w:r>
    </w:p>
    <w:p>
      <w:pPr>
        <w:pStyle w:val="BodyText"/>
      </w:pPr>
      <w:r>
        <w:t xml:space="preserve">Tre bestämmelser i 7 kap. miljöbalken är relevanta för prövningen:</w:t>
      </w:r>
    </w:p>
    <w:p>
      <w:pPr>
        <w:pStyle w:val="Compact"/>
        <w:numPr>
          <w:ilvl w:val="0"/>
          <w:numId w:val="1002"/>
        </w:numPr>
      </w:pPr>
      <w:r>
        <w:t xml:space="preserve">Nuvarande</w:t>
      </w:r>
      <w:r>
        <w:t xml:space="preserve"> </w:t>
      </w:r>
      <w:r>
        <w:rPr>
          <w:b/>
          <w:bCs/>
        </w:rPr>
        <w:t xml:space="preserve">7 kap. 18 e § MB</w:t>
      </w:r>
      <w:r>
        <w:t xml:space="preserve"> </w:t>
      </w:r>
      <w:r>
        <w:t xml:space="preserve">– de allmänna särskilda skälen (motsvarande äldre 18 c §)</w:t>
      </w:r>
    </w:p>
    <w:p>
      <w:pPr>
        <w:pStyle w:val="Compact"/>
        <w:numPr>
          <w:ilvl w:val="0"/>
          <w:numId w:val="1002"/>
        </w:numPr>
      </w:pPr>
      <w:r>
        <w:t xml:space="preserve">Nuvarande</w:t>
      </w:r>
      <w:r>
        <w:t xml:space="preserve"> </w:t>
      </w:r>
      <w:r>
        <w:rPr>
          <w:b/>
          <w:bCs/>
        </w:rPr>
        <w:t xml:space="preserve">7 kap. 18 g § MB</w:t>
      </w:r>
      <w:r>
        <w:t xml:space="preserve"> </w:t>
      </w:r>
      <w:r>
        <w:t xml:space="preserve">– LIS-skälet (motsvarande äldre 18 d §)</w:t>
      </w:r>
    </w:p>
    <w:p>
      <w:pPr>
        <w:pStyle w:val="Compact"/>
        <w:numPr>
          <w:ilvl w:val="0"/>
          <w:numId w:val="1002"/>
        </w:numPr>
      </w:pPr>
      <w:r>
        <w:t xml:space="preserve">Nuvarande</w:t>
      </w:r>
      <w:r>
        <w:t xml:space="preserve"> </w:t>
      </w:r>
      <w:r>
        <w:rPr>
          <w:b/>
          <w:bCs/>
        </w:rPr>
        <w:t xml:space="preserve">7 kap. 18 i § MB</w:t>
      </w:r>
      <w:r>
        <w:t xml:space="preserve"> </w:t>
      </w:r>
      <w:r>
        <w:t xml:space="preserve">– fri passage. Detta är inte ett särskilt skäl utan en obligatorisk spärr för upphävandet (motsvarande äldre 18 f §).</w:t>
      </w:r>
    </w:p>
    <w:p>
      <w:pPr>
        <w:pStyle w:val="FirstParagraph"/>
      </w:pPr>
      <w:r>
        <w:t xml:space="preserve">Reglerna ändrades genom SFS 2025:512 och 2025:514 den 1 juli 2025. Eftersom detaljplaneärendet påbörjades 2025-05-16 – före den dagen – kan även äldre lydelse vara tillämplig enligt övergångsbestämmelserna. Det åligger kommunen att klargöra och konsekvent tillämpa rätt lydelse. Oavsett tillämplig lydelse krävs särskilda skäl och fungerande fri passage.</w:t>
      </w:r>
    </w:p>
    <w:p>
      <w:pPr>
        <w:pStyle w:val="BodyText"/>
      </w:pPr>
      <w:r>
        <w:t xml:space="preserve">Planbeskrivningens enda lagrumshänvisning är att</w:t>
      </w:r>
      <w:r>
        <w:t xml:space="preserve"> </w:t>
      </w:r>
      <w:r>
        <w:rPr>
          <w:i/>
          <w:iCs/>
        </w:rPr>
        <w:t xml:space="preserve">"särskilda skäl föreligger enligt 7 kap. 18 c § miljöbalken"</w:t>
      </w:r>
      <w:r>
        <w:t xml:space="preserve"> </w:t>
      </w:r>
      <w:r>
        <w:t xml:space="preserve">(§ 6.4.3, s. 16–17). Den preciserar varken vilken lydelse som tillämpas eller anknyter till någon LIS-bestämmelse. Vidare för kommunen under denna hänvisning fram fyra punkter där den första i sak är ett LIS-skäl, vilket rätteligen prövas separat enligt LIS-bestämmelsen. Sammanblandningen av allmänna särskilda skäl och LIS-skälet brister i den processuella stringens som krävs. Vi ifrågasätter därutöver de fyra punkterna i sak enligt följande:</w:t>
      </w:r>
    </w:p>
    <w:p>
      <w:pPr>
        <w:pStyle w:val="Compact"/>
        <w:numPr>
          <w:ilvl w:val="0"/>
          <w:numId w:val="1003"/>
        </w:numPr>
      </w:pPr>
      <w:r>
        <w:rPr>
          <w:b/>
          <w:bCs/>
        </w:rPr>
        <w:t xml:space="preserve">LIS-skälet är internt motsägelsefullt.</w:t>
      </w:r>
      <w:r>
        <w:t xml:space="preserve"> </w:t>
      </w:r>
      <w:r>
        <w:t xml:space="preserve">Planen åberopar landsbygdsutveckling motiverad med "underlag för service, skola och kollektivtrafik". Kommunen påpekar samtidigt (s. 7) att</w:t>
      </w:r>
      <w:r>
        <w:t xml:space="preserve"> </w:t>
      </w:r>
      <w:r>
        <w:rPr>
          <w:i/>
          <w:iCs/>
        </w:rPr>
        <w:t xml:space="preserve">"Ubbhult som ort... saknar tillfredsställande service, handel och kollektivtrafik"</w:t>
      </w:r>
      <w:r>
        <w:t xml:space="preserve">. För att LIS-skälet ska vara tillämpligt krävs en konkret koppling mellan exploatering och landsbygdsutveckling. Att kommunen själv konstaterar att den service som åberopas saknas, utan att visa hur och när sådan service ska tillkomma som följd av exploateringen, talar emot att LIS-skälet är tillämpligt.</w:t>
      </w:r>
    </w:p>
    <w:p>
      <w:pPr>
        <w:pStyle w:val="Compact"/>
        <w:numPr>
          <w:ilvl w:val="0"/>
          <w:numId w:val="1003"/>
        </w:numPr>
      </w:pPr>
      <w:r>
        <w:rPr>
          <w:b/>
          <w:bCs/>
        </w:rPr>
        <w:t xml:space="preserve">"Ianspråktagen mark / sammanhållen bebyggelse"</w:t>
      </w:r>
      <w:r>
        <w:t xml:space="preserve"> </w:t>
      </w:r>
      <w:r>
        <w:t xml:space="preserve">(skäl 2) håller inte mot förhållandena på platsen. Området består enligt planbeskrivningen huvudsakligen av</w:t>
      </w:r>
      <w:r>
        <w:t xml:space="preserve"> </w:t>
      </w:r>
      <w:r>
        <w:rPr>
          <w:i/>
          <w:iCs/>
        </w:rPr>
        <w:t xml:space="preserve">"obebyggd naturmark"</w:t>
      </w:r>
      <w:r>
        <w:t xml:space="preserve"> </w:t>
      </w:r>
      <w:r>
        <w:t xml:space="preserve">och</w:t>
      </w:r>
      <w:r>
        <w:t xml:space="preserve"> </w:t>
      </w:r>
      <w:r>
        <w:rPr>
          <w:i/>
          <w:iCs/>
        </w:rPr>
        <w:t xml:space="preserve">"ungskog och sly"</w:t>
      </w:r>
      <w:r>
        <w:t xml:space="preserve"> </w:t>
      </w:r>
      <w:r>
        <w:t xml:space="preserve">(s. 9). Länsstyrelsen har i sitt granskningsyttrande över FÖP Mark Nordväst (2023-01-31, sid. 15) för ett annat LIS-område i Mark gjort motsvarande invändning:</w:t>
      </w:r>
      <w:r>
        <w:t xml:space="preserve"> </w:t>
      </w:r>
      <w:r>
        <w:rPr>
          <w:i/>
          <w:iCs/>
        </w:rPr>
        <w:t xml:space="preserve">"området till stor del inte kan anses ianspråktaget utifrån strandskyddslagstiftningens perspektiv"</w:t>
      </w:r>
      <w:r>
        <w:t xml:space="preserve">. MÖD har i</w:t>
      </w:r>
      <w:r>
        <w:t xml:space="preserve"> </w:t>
      </w:r>
      <w:r>
        <w:rPr>
          <w:b/>
          <w:bCs/>
        </w:rPr>
        <w:t xml:space="preserve">mål P 5876-18 (dom 2019-03-19)</w:t>
      </w:r>
      <w:r>
        <w:t xml:space="preserve"> </w:t>
      </w:r>
      <w:r>
        <w:t xml:space="preserve">slagit fast att det inte räcker att området kan anses vara ianspråktaget – det krävs att marken är det</w:t>
      </w:r>
      <w:r>
        <w:t xml:space="preserve"> </w:t>
      </w:r>
      <w:r>
        <w:rPr>
          <w:i/>
          <w:iCs/>
        </w:rPr>
        <w:t xml:space="preserve">på ett sådant sätt att den saknar betydelse för strandskyddets syften</w:t>
      </w:r>
      <w:r>
        <w:t xml:space="preserve">, och att hela bebyggelseområden inte automatiskt utgör en "sammanhållen enhet". I</w:t>
      </w:r>
      <w:r>
        <w:t xml:space="preserve"> </w:t>
      </w:r>
      <w:r>
        <w:rPr>
          <w:b/>
          <w:bCs/>
        </w:rPr>
        <w:t xml:space="preserve">MÖD P 9670-20 (dom 2021-03-26)</w:t>
      </w:r>
      <w:r>
        <w:t xml:space="preserve"> </w:t>
      </w:r>
      <w:r>
        <w:t xml:space="preserve">upphävde domstolen en detaljplan eftersom det saknades utredning som visade att exploateringsintresset inte kunde tillgodoses utanför det strandskyddade området. Motsvarande lokaliseringsutredning saknas här.</w:t>
      </w:r>
    </w:p>
    <w:p>
      <w:pPr>
        <w:pStyle w:val="Compact"/>
        <w:numPr>
          <w:ilvl w:val="0"/>
          <w:numId w:val="1003"/>
        </w:numPr>
      </w:pPr>
      <w:r>
        <w:rPr>
          <w:b/>
          <w:bCs/>
        </w:rPr>
        <w:t xml:space="preserve">Fri passage</w:t>
      </w:r>
      <w:r>
        <w:t xml:space="preserve"> </w:t>
      </w:r>
      <w:r>
        <w:t xml:space="preserve">är som nämnts ovan inte ett särskilt skäl utan en obligatorisk spärr. LIS-tillägget kräver uttryckligen för LIS 06B SJÖDAL (sid. 19)</w:t>
      </w:r>
      <w:r>
        <w:t xml:space="preserve"> </w:t>
      </w:r>
      <w:r>
        <w:rPr>
          <w:i/>
          <w:iCs/>
        </w:rPr>
        <w:t xml:space="preserve">"fri passage på 30 meter från strandområdet"</w:t>
      </w:r>
      <w:r>
        <w:t xml:space="preserve"> </w:t>
      </w:r>
      <w:r>
        <w:t xml:space="preserve">och att</w:t>
      </w:r>
      <w:r>
        <w:t xml:space="preserve"> </w:t>
      </w:r>
      <w:r>
        <w:rPr>
          <w:i/>
          <w:iCs/>
        </w:rPr>
        <w:t xml:space="preserve">"vägar eller gång- och cykelvägar anordnas mellan bebyggelsen och strandområdet"</w:t>
      </w:r>
      <w:r>
        <w:t xml:space="preserve">. Planbeskrivningen anger "cirka 30 meter" mot Brearetjärnen, men säkerställer inte detta som planbestämmelse på själva plankartan. MÖD har klargjort att passagen ska vara</w:t>
      </w:r>
      <w:r>
        <w:t xml:space="preserve"> </w:t>
      </w:r>
      <w:r>
        <w:rPr>
          <w:i/>
          <w:iCs/>
        </w:rPr>
        <w:t xml:space="preserve">faktiskt fungerande</w:t>
      </w:r>
      <w:r>
        <w:t xml:space="preserve"> </w:t>
      </w:r>
      <w:r>
        <w:t xml:space="preserve">– funktionen är avgörande, inte enbart måttet. I</w:t>
      </w:r>
      <w:r>
        <w:t xml:space="preserve"> </w:t>
      </w:r>
      <w:r>
        <w:rPr>
          <w:b/>
          <w:bCs/>
        </w:rPr>
        <w:t xml:space="preserve">MÖD P 2498-22 (dom 2023-07-06)</w:t>
      </w:r>
      <w:r>
        <w:t xml:space="preserve"> </w:t>
      </w:r>
      <w:r>
        <w:t xml:space="preserve">upphävde domstolen en detaljplan för upp till 35 bostäder i LIS-område, trots godtaget LIS-skäl för bostadsbebyggelsen, eftersom det inte tydligt framgick av plankartan att strandskyddet kvarstod inom den prickmark som skulle säkerställa fri passage. Vi yrkar att fri passage mot Brearetjärnen</w:t>
      </w:r>
      <w:r>
        <w:t xml:space="preserve"> </w:t>
      </w:r>
      <w:r>
        <w:rPr>
          <w:b/>
          <w:bCs/>
        </w:rPr>
        <w:t xml:space="preserve">redovisas som planbestämmelse på själva plankartan</w:t>
      </w:r>
      <w:r>
        <w:t xml:space="preserve"> </w:t>
      </w:r>
      <w:r>
        <w:t xml:space="preserve">och uttryckligen skyddas mot privatisering (staket, brygor, anläggningar).</w:t>
      </w:r>
    </w:p>
    <w:p>
      <w:pPr>
        <w:pStyle w:val="Compact"/>
        <w:numPr>
          <w:ilvl w:val="0"/>
          <w:numId w:val="1003"/>
        </w:numPr>
      </w:pPr>
      <w:r>
        <w:rPr>
          <w:b/>
          <w:bCs/>
        </w:rPr>
        <w:t xml:space="preserve">"Hänsyn till naturvärden"</w:t>
      </w:r>
      <w:r>
        <w:t xml:space="preserve"> </w:t>
      </w:r>
      <w:r>
        <w:t xml:space="preserve">(skäl 4) bygger på kompensationsåtgärder för groddjur. Planbeskrivningen anger att åtgärden</w:t>
      </w:r>
      <w:r>
        <w:t xml:space="preserve"> </w:t>
      </w:r>
      <w:r>
        <w:rPr>
          <w:i/>
          <w:iCs/>
        </w:rPr>
        <w:t xml:space="preserve">"kan tillskapas inom eller i anslutning till detaljplanområdet"</w:t>
      </w:r>
      <w:r>
        <w:t xml:space="preserve"> </w:t>
      </w:r>
      <w:r>
        <w:t xml:space="preserve">respektive</w:t>
      </w:r>
      <w:r>
        <w:t xml:space="preserve"> </w:t>
      </w:r>
      <w:r>
        <w:rPr>
          <w:i/>
          <w:iCs/>
        </w:rPr>
        <w:t xml:space="preserve">"anläggas inom eller utanför planområdet"</w:t>
      </w:r>
      <w:r>
        <w:t xml:space="preserve">, och att</w:t>
      </w:r>
      <w:r>
        <w:t xml:space="preserve"> </w:t>
      </w:r>
      <w:r>
        <w:rPr>
          <w:i/>
          <w:iCs/>
        </w:rPr>
        <w:t xml:space="preserve">"planläggning för detta anses inte nödvändigt"</w:t>
      </w:r>
      <w:r>
        <w:t xml:space="preserve"> </w:t>
      </w:r>
      <w:r>
        <w:t xml:space="preserve">(s. 22). En kompensation som inte säkerställs i planbestämmelse utgör inte ett särskilt skäl. Se vidare punkt 2 nedan.</w:t>
      </w:r>
    </w:p>
    <w:p>
      <w:pPr>
        <w:pStyle w:val="FirstParagraph"/>
      </w:pPr>
      <w:r>
        <w:t xml:space="preserve">Vi yrkar att Länsstyrelsen yttrar sig särskilt och utövar sin prövningsplikt enligt 11 kap. 10 § andra stycket 4 PBL.</w:t>
      </w:r>
    </w:p>
    <w:bookmarkEnd w:id="14"/>
    <w:bookmarkStart w:id="16" w:name="X85eb4d41b9caecbbed4bd7679255d6d15423390"/>
    <w:p>
      <w:pPr>
        <w:pStyle w:val="Heading3"/>
      </w:pPr>
      <w:r>
        <w:t xml:space="preserve">2. Bristande artskyddsutredning – 4 a § och 6 § artskyddsförordningen (2007:845)</w:t>
      </w:r>
    </w:p>
    <w:p>
      <w:pPr>
        <w:pStyle w:val="FirstParagraph"/>
      </w:pPr>
      <w:r>
        <w:t xml:space="preserve">Naturvärdesinventeringen 2025-09-02 dokumenterar</w:t>
      </w:r>
      <w:r>
        <w:t xml:space="preserve"> </w:t>
      </w:r>
      <w:r>
        <w:rPr>
          <w:b/>
          <w:bCs/>
        </w:rPr>
        <w:t xml:space="preserve">brungroda</w:t>
      </w:r>
      <w:r>
        <w:t xml:space="preserve"> </w:t>
      </w:r>
      <w:r>
        <w:t xml:space="preserve">på plats I (planbeskrivningen s. 24) samt sex småvatten varav ett med djuphåla lämpat som groddjurslokal (s. 22). LIS-tillägget (sid. 20) anger dessutom att området har</w:t>
      </w:r>
      <w:r>
        <w:t xml:space="preserve"> </w:t>
      </w:r>
      <w:r>
        <w:rPr>
          <w:i/>
          <w:iCs/>
        </w:rPr>
        <w:t xml:space="preserve">"artrikt fågelliv i näringsfattig sjö"</w:t>
      </w:r>
      <w:r>
        <w:t xml:space="preserve"> </w:t>
      </w:r>
      <w:r>
        <w:t xml:space="preserve">och att</w:t>
      </w:r>
      <w:r>
        <w:t xml:space="preserve"> </w:t>
      </w:r>
      <w:r>
        <w:rPr>
          <w:i/>
          <w:iCs/>
        </w:rPr>
        <w:t xml:space="preserve">"storlom och havstrut har historiskt häckat i sjön"</w:t>
      </w:r>
      <w:r>
        <w:t xml:space="preserve">. Boende i området rapporterar därtill spridd förekomst av</w:t>
      </w:r>
      <w:r>
        <w:t xml:space="preserve"> </w:t>
      </w:r>
      <w:r>
        <w:rPr>
          <w:b/>
          <w:bCs/>
        </w:rPr>
        <w:t xml:space="preserve">fladdermöss</w:t>
      </w:r>
      <w:r>
        <w:t xml:space="preserve"> </w:t>
      </w:r>
      <w:r>
        <w:t xml:space="preserve">i hela planområdet och dess närhet.</w:t>
      </w:r>
    </w:p>
    <w:p>
      <w:pPr>
        <w:pStyle w:val="Compact"/>
        <w:numPr>
          <w:ilvl w:val="0"/>
          <w:numId w:val="1004"/>
        </w:numPr>
      </w:pPr>
      <w:r>
        <w:rPr>
          <w:b/>
          <w:bCs/>
        </w:rPr>
        <w:t xml:space="preserve">Samtliga vilda fåglar</w:t>
      </w:r>
      <w:r>
        <w:t xml:space="preserve"> </w:t>
      </w:r>
      <w:r>
        <w:t xml:space="preserve">är skyddade enligt</w:t>
      </w:r>
      <w:r>
        <w:t xml:space="preserve"> </w:t>
      </w:r>
      <w:r>
        <w:rPr>
          <w:b/>
          <w:bCs/>
        </w:rPr>
        <w:t xml:space="preserve">4 § artskyddsförordningen</w:t>
      </w:r>
      <w:r>
        <w:t xml:space="preserve"> </w:t>
      </w:r>
      <w:r>
        <w:t xml:space="preserve">samt artikel 5 i fågeldirektivet 2009/147/EG. Storlom är dessutom upptagen i bilaga 1 till fågeldirektivet, vilket utlöser särskilda skyddsåtgärder enligt artikel 4. Eftersom området enligt LIS-tillägget tidigare har utgjort häckningsmiljö för bilaga 1-arter behöver en uppdaterad fågelinventering genomföras för att klarlägga aktuell förekomst och påverkan av planens genomförande.</w:t>
      </w:r>
    </w:p>
    <w:p>
      <w:pPr>
        <w:pStyle w:val="Compact"/>
        <w:numPr>
          <w:ilvl w:val="0"/>
          <w:numId w:val="1004"/>
        </w:numPr>
      </w:pPr>
      <w:r>
        <w:rPr>
          <w:b/>
          <w:bCs/>
        </w:rPr>
        <w:t xml:space="preserve">Samtliga svenska grod- och kräldjur</w:t>
      </w:r>
      <w:r>
        <w:t xml:space="preserve"> </w:t>
      </w:r>
      <w:r>
        <w:t xml:space="preserve">är fridlysta enligt</w:t>
      </w:r>
      <w:r>
        <w:t xml:space="preserve"> </w:t>
      </w:r>
      <w:r>
        <w:rPr>
          <w:b/>
          <w:bCs/>
        </w:rPr>
        <w:t xml:space="preserve">6 § artskyddsförordningen</w:t>
      </w:r>
      <w:r>
        <w:t xml:space="preserve">: förbud mot att döda, skada, fånga eller samla in exemplar, samt mot att ta bort eller skada ägg, rom, larver eller bon. För arter i bilaga 1 till artskyddsförordningen gäller dessutom det skarpare skyddet enligt</w:t>
      </w:r>
      <w:r>
        <w:t xml:space="preserve"> </w:t>
      </w:r>
      <w:r>
        <w:rPr>
          <w:b/>
          <w:bCs/>
        </w:rPr>
        <w:t xml:space="preserve">4 a § första stycket 4 artskyddsförordningen</w:t>
      </w:r>
      <w:r>
        <w:t xml:space="preserve"> </w:t>
      </w:r>
      <w:r>
        <w:t xml:space="preserve">(motsvarande den tidigare 4 § första stycket 4 som åberopades i MÖD 2017:49) – förbud mot att skada eller förstöra deras fortplantnings- eller viloplatser.</w:t>
      </w:r>
    </w:p>
    <w:p>
      <w:pPr>
        <w:pStyle w:val="Compact"/>
        <w:numPr>
          <w:ilvl w:val="0"/>
          <w:numId w:val="1004"/>
        </w:numPr>
      </w:pPr>
      <w:r>
        <w:rPr>
          <w:b/>
          <w:bCs/>
        </w:rPr>
        <w:t xml:space="preserve">Samtliga svenska fladdermusarter</w:t>
      </w:r>
      <w:r>
        <w:t xml:space="preserve"> </w:t>
      </w:r>
      <w:r>
        <w:t xml:space="preserve">är upptagna i bilaga 1 till artskyddsförordningen och omfattas av det strikta skyddet enligt</w:t>
      </w:r>
      <w:r>
        <w:t xml:space="preserve"> </w:t>
      </w:r>
      <w:r>
        <w:rPr>
          <w:b/>
          <w:bCs/>
        </w:rPr>
        <w:t xml:space="preserve">4 a § artskyddsförordningen</w:t>
      </w:r>
      <w:r>
        <w:t xml:space="preserve">. Skyddet motsvarar bilaga IV till Art- och habitatdirektivet 92/43/EEG och innebär bl.a. förbud mot att avsiktligt fånga eller döda djur, att avsiktligt störa dem under parnings-, uppfödnings-, övervintrings- och flyttningsperioder, samt mot att</w:t>
      </w:r>
      <w:r>
        <w:t xml:space="preserve"> </w:t>
      </w:r>
      <w:r>
        <w:rPr>
          <w:i/>
          <w:iCs/>
        </w:rPr>
        <w:t xml:space="preserve">skada eller förstöra deras fortplantnings- eller viloplatser</w:t>
      </w:r>
      <w:r>
        <w:t xml:space="preserve">. Planområdets karaktär – ungskog med äldre träd, skogsbryn, närhet till Brearetjärnen och våtmarker – utgör typisk fladdermushabitat för både jakt och vila. Förekomst av fladdermöss kan inte uteslutas med naturvärdesinventeringen från september 2025, eftersom en ändamålsenlig fladdermusinventering kräver kvälls- eller nattinventering med ultraljudsdetektor under aktiv säsong (i regel juni–augusti).</w:t>
      </w:r>
    </w:p>
    <w:p>
      <w:pPr>
        <w:pStyle w:val="Compact"/>
        <w:numPr>
          <w:ilvl w:val="0"/>
          <w:numId w:val="1004"/>
        </w:numPr>
      </w:pPr>
      <w:r>
        <w:rPr>
          <w:b/>
          <w:bCs/>
        </w:rPr>
        <w:t xml:space="preserve">Säsongsriktig artinventering saknas.</w:t>
      </w:r>
      <w:r>
        <w:t xml:space="preserve"> </w:t>
      </w:r>
      <w:r>
        <w:t xml:space="preserve">Naturvärdesinventeringen från september 2025 är genomförd vid en tidpunkt som inte är ändamålsenlig för att utesluta förekomst av bilaga 1-arter bland groddjur eller fladdermöss. Att förekomst av sådana arter inte har kunnat uteslutas genom säsongsriktiga inventeringar är en självständig brist i underlaget. Kompletterande inventeringar bör därför genomföras – för groddjur under vårens lekperiod och för fladdermöss under aktiv säsong med ultraljudsdetektor – innan planen förs vidare.</w:t>
      </w:r>
    </w:p>
    <w:p>
      <w:pPr>
        <w:pStyle w:val="Compact"/>
        <w:numPr>
          <w:ilvl w:val="0"/>
          <w:numId w:val="1004"/>
        </w:numPr>
      </w:pPr>
      <w:r>
        <w:rPr>
          <w:b/>
          <w:bCs/>
        </w:rPr>
        <w:t xml:space="preserve">Boverkets vägledning kräver utredning innan samråd.</w:t>
      </w:r>
      <w:r>
        <w:t xml:space="preserve"> </w:t>
      </w:r>
      <w:r>
        <w:t xml:space="preserve">Boverket gav i mars 2026 ut</w:t>
      </w:r>
      <w:r>
        <w:t xml:space="preserve"> </w:t>
      </w:r>
      <w:hyperlink r:id="rId15">
        <w:r>
          <w:rPr>
            <w:rStyle w:val="Hyperlink"/>
            <w:i/>
            <w:iCs/>
          </w:rPr>
          <w:t xml:space="preserve">Artskyddet i samhällsplaneringen</w:t>
        </w:r>
        <w:r>
          <w:rPr>
            <w:rStyle w:val="Hyperlink"/>
          </w:rPr>
          <w:t xml:space="preserve"> </w:t>
        </w:r>
        <w:r>
          <w:rPr>
            <w:rStyle w:val="Hyperlink"/>
          </w:rPr>
          <w:t xml:space="preserve">(Rapport 2026:12)</w:t>
        </w:r>
      </w:hyperlink>
      <w:r>
        <w:t xml:space="preserve">, slutrapportering av regeringsuppdrag. Boverket anger uttryckligen (sid 35–36) att</w:t>
      </w:r>
      <w:r>
        <w:t xml:space="preserve"> </w:t>
      </w:r>
      <w:r>
        <w:rPr>
          <w:i/>
          <w:iCs/>
        </w:rPr>
        <w:t xml:space="preserve">"NVI är ingen artinventering... Enligt standarden finns inget krav på avgränsning av naturmiljöer för enskilda arter, detta måste upphandlas extra med en riktad artinventering som kräver rätt tidpunkt, rätt utrustning som till exempel fladdermusdetektorer och specialkompetens för den artgruppen."</w:t>
      </w:r>
      <w:r>
        <w:t xml:space="preserve"> </w:t>
      </w:r>
      <w:r>
        <w:t xml:space="preserve">Vidare (sid 48):</w:t>
      </w:r>
      <w:r>
        <w:t xml:space="preserve"> </w:t>
      </w:r>
      <w:r>
        <w:rPr>
          <w:i/>
          <w:iCs/>
        </w:rPr>
        <w:t xml:space="preserve">"Alla nödvändiga utredningar och anpassningen av planområdet med skyddsåtgärder, behöver vara gjorda innan planen skickas ut på samråd."</w:t>
      </w:r>
      <w:r>
        <w:t xml:space="preserve"> </w:t>
      </w:r>
      <w:r>
        <w:t xml:space="preserve">Boverket konstaterar uttryckligen att planer har upphävts när artskyddsutredningar</w:t>
      </w:r>
      <w:r>
        <w:t xml:space="preserve"> </w:t>
      </w:r>
      <w:r>
        <w:rPr>
          <w:i/>
          <w:iCs/>
        </w:rPr>
        <w:t xml:space="preserve">"har utförts under fel säsong i förhållande till arters aktivitet och mobilitet"</w:t>
      </w:r>
      <w:r>
        <w:t xml:space="preserve"> </w:t>
      </w:r>
      <w:r>
        <w:t xml:space="preserve">(sid 48–49) och listar tolv MÖD-domar som stöd, däribland MÖD 2014:4. Det aktuella planförslagets underlag uppfyller varken kravet på säsongsriktig inventering eller kravet på att utredning ska vara klar innan samråd.</w:t>
      </w:r>
    </w:p>
    <w:p>
      <w:pPr>
        <w:pStyle w:val="Compact"/>
        <w:numPr>
          <w:ilvl w:val="0"/>
          <w:numId w:val="1004"/>
        </w:numPr>
      </w:pPr>
      <w:r>
        <w:rPr>
          <w:b/>
          <w:bCs/>
        </w:rPr>
        <w:t xml:space="preserve">Boverkets fem obligatoriska frågor besvaras inte i planbeskrivningen.</w:t>
      </w:r>
      <w:r>
        <w:t xml:space="preserve"> </w:t>
      </w:r>
      <w:r>
        <w:t xml:space="preserve">Boverkets vägledning anger (sid 47) fem frågor som detaljplanen ska besvara avseende artskyddet: (i) förekomst av fridlysta arter och deras användning av området, (ii) behov av anpassningar/skyddsåtgärder för att undvika dödande eller störning, (iii) artens förutsättningar att tillgodose sina behov i närområdet om viktiga platser påverkas, (iv) risken att förbud enligt 4, 4 a och 6–9 §§ artskyddsförordningen utlöses samt om inarbetade skyddsåtgärder är tillräckliga eller dispens krävs, samt (v) bedömning av kumulativa effekter. Planbeskrivningen besvarar inte någon av dessa frågor systematiskt.</w:t>
      </w:r>
    </w:p>
    <w:p>
      <w:pPr>
        <w:pStyle w:val="Compact"/>
        <w:numPr>
          <w:ilvl w:val="0"/>
          <w:numId w:val="1004"/>
        </w:numPr>
      </w:pPr>
      <w:r>
        <w:t xml:space="preserve">Länsstyrelsen i Västra Götaland har i sitt granskningsyttrande över FÖP Mark Nordväst (2023-01-31, sid. 14–15) understrukit att</w:t>
      </w:r>
      <w:r>
        <w:t xml:space="preserve"> </w:t>
      </w:r>
      <w:r>
        <w:rPr>
          <w:i/>
          <w:iCs/>
        </w:rPr>
        <w:t xml:space="preserve">"Artskyddsförordningen innehåller också rena förbud som behöver beaktas vid planläggning och bygglovsgivning. Dispenser från artskyddsförordningen ges mycket restriktivt. Bästa sättet att undvika förgävesplanering är att i tidigt skede inventera/identifiera om skyddade arter finns som kan påverkas."</w:t>
      </w:r>
    </w:p>
    <w:p>
      <w:pPr>
        <w:pStyle w:val="Compact"/>
        <w:numPr>
          <w:ilvl w:val="0"/>
          <w:numId w:val="1004"/>
        </w:numPr>
      </w:pPr>
      <w:r>
        <w:rPr>
          <w:b/>
          <w:bCs/>
        </w:rPr>
        <w:t xml:space="preserve">MÖD-praxis för artskydd och planläggning – direkt parallell.</w:t>
      </w:r>
      <w:r>
        <w:t xml:space="preserve"> </w:t>
      </w:r>
      <w:r>
        <w:t xml:space="preserve">I</w:t>
      </w:r>
      <w:r>
        <w:t xml:space="preserve"> </w:t>
      </w:r>
      <w:r>
        <w:rPr>
          <w:b/>
          <w:bCs/>
        </w:rPr>
        <w:t xml:space="preserve">MÖD 2017:49 (mål P 11166-16, dom 2017-12-01)</w:t>
      </w:r>
      <w:r>
        <w:t xml:space="preserve"> </w:t>
      </w:r>
      <w:r>
        <w:t xml:space="preserve">– Vadstena slottspark – upphävde Mark- och miljööverdomstolen en detaljplan på två självständiga grunder. Den för oss centrala är att den miljökonsekvensbeskrivning som låg till grund för antagandet inte uppfyllde kraven i 6 kap. 12 § miljöbalken (numera 6 kap. 11 § MB) eftersom planens påverkan på fladdermöss inte var analyserad. I Ubbhult-planen saknas både fladdermusinventering och MKB; samma utredningsbrist föreligger alltså i en jämförbar situation, vilket är ett tungt argument för att planen inte kan antas i nuvarande form. Se vidare punkt 3 om MKB nedan. I</w:t>
      </w:r>
      <w:r>
        <w:t xml:space="preserve"> </w:t>
      </w:r>
      <w:r>
        <w:rPr>
          <w:b/>
          <w:bCs/>
        </w:rPr>
        <w:t xml:space="preserve">MÖD 2014:4 (mål P 2823-13)</w:t>
      </w:r>
      <w:r>
        <w:t xml:space="preserve"> </w:t>
      </w:r>
      <w:r>
        <w:t xml:space="preserve">upphävde domstolen en detaljplan när det fanns</w:t>
      </w:r>
      <w:r>
        <w:t xml:space="preserve"> </w:t>
      </w:r>
      <w:r>
        <w:rPr>
          <w:i/>
          <w:iCs/>
        </w:rPr>
        <w:t xml:space="preserve">"beaktansvärd risk för att... [en fridlyst arts] livsmiljö kan komma att skadas eller förstöras"</w:t>
      </w:r>
      <w:r>
        <w:t xml:space="preserve"> </w:t>
      </w:r>
      <w:r>
        <w:t xml:space="preserve">och MKB saknades. Domen rörde en bilaga IV-art (grönfläckig padda) och principen är överförbar – särskilt på fladdermöss, vilka tillhör samma bilaga IV-kategori (4 a § artskyddsförordningen). I</w:t>
      </w:r>
      <w:r>
        <w:t xml:space="preserve"> </w:t>
      </w:r>
      <w:r>
        <w:rPr>
          <w:b/>
          <w:bCs/>
        </w:rPr>
        <w:t xml:space="preserve">MÖD 2023:17 II (mål P 15357-21, dom 2023-10-10, Sölvesborg)</w:t>
      </w:r>
      <w:r>
        <w:t xml:space="preserve"> </w:t>
      </w:r>
      <w:r>
        <w:t xml:space="preserve">upphävde MÖD en detaljplan eftersom de åberopade fladdermusutredningarna inte utgjorde tillräckligt underlag för att bedöma planens påverkan på fortplantningsområden – bland annat hade en av utredningarna genomförts under en period vars lämplighet för att utreda yngelkolonier ifrågasattes. MÖD P 14048-22 (dom 2024-02-05) följer samma linje. Av MÖD-praxis följer att kommunen behöver tillräckligt, artspecifikt underlag; brister i timing, geografisk täckning eller avsaknad av riktad inventering har lett till upphävande. I vår sak har</w:t>
      </w:r>
      <w:r>
        <w:t xml:space="preserve"> </w:t>
      </w:r>
      <w:r>
        <w:rPr>
          <w:i/>
          <w:iCs/>
        </w:rPr>
        <w:t xml:space="preserve">ingen</w:t>
      </w:r>
      <w:r>
        <w:t xml:space="preserve"> </w:t>
      </w:r>
      <w:r>
        <w:t xml:space="preserve">riktad fladdermusinventering genomförts överhuvudtaget, trots att planområdets karaktär (ungskog med äldre träd, skogsbryn, närhet till Brearetjärnen och våtmarker, mörka flygkorridorer) typiskt utgör fladdermushabitat för både jakt och vila.</w:t>
      </w:r>
    </w:p>
    <w:p>
      <w:pPr>
        <w:pStyle w:val="Compact"/>
        <w:numPr>
          <w:ilvl w:val="0"/>
          <w:numId w:val="1004"/>
        </w:numPr>
      </w:pPr>
      <w:r>
        <w:rPr>
          <w:b/>
          <w:bCs/>
        </w:rPr>
        <w:t xml:space="preserve">Kompensationsåtgärden är inte säkerställd i planhandlingarna.</w:t>
      </w:r>
      <w:r>
        <w:t xml:space="preserve"> </w:t>
      </w:r>
      <w:r>
        <w:t xml:space="preserve">Av planbeskrivningen framgår att groddjurskompensation "kan tillskapas inom eller i anslutning till" planområdet (s. 22) respektive "kan anläggas inom eller utanför planområdet" (s. 22), och att "planläggning för detta anses inte nödvändigt". Detta är otillräckligt. Skyddsåtgärder för fridlysta arter måste säkerställas</w:t>
      </w:r>
      <w:r>
        <w:t xml:space="preserve"> </w:t>
      </w:r>
      <w:r>
        <w:rPr>
          <w:i/>
          <w:iCs/>
        </w:rPr>
        <w:t xml:space="preserve">i planen</w:t>
      </w:r>
      <w:r>
        <w:t xml:space="preserve">, inte hänvisas till efterföljande prövning eller frivilliga insatser.</w:t>
      </w:r>
    </w:p>
    <w:p>
      <w:pPr>
        <w:pStyle w:val="FirstParagraph"/>
      </w:pPr>
      <w:r>
        <w:t xml:space="preserve">Vi yrkar att naturvärdesinventeringen kompletteras med en separat artskyddsutredning omfattande</w:t>
      </w:r>
      <w:r>
        <w:t xml:space="preserve"> </w:t>
      </w:r>
      <w:r>
        <w:rPr>
          <w:b/>
          <w:bCs/>
        </w:rPr>
        <w:t xml:space="preserve">säsongsriktig inventering av groddjur (vår), häckande fåglar samt fladdermöss (specialinventering med ultraljudsdetektor under aktiv säsong)</w:t>
      </w:r>
      <w:r>
        <w:t xml:space="preserve">, samt att skyddsåtgärder för konstaterade eller potentiellt förekommande arter</w:t>
      </w:r>
      <w:r>
        <w:t xml:space="preserve"> </w:t>
      </w:r>
      <w:r>
        <w:rPr>
          <w:b/>
          <w:bCs/>
        </w:rPr>
        <w:t xml:space="preserve">regleras med bindande planbestämmelse</w:t>
      </w:r>
      <w:r>
        <w:t xml:space="preserve">. Skyddsåtgärder kan – i enlighet med Boverkets vägledning sid 50 – inkludera justerad planavgränsning, bevarade naturvärdesträd, naturmark kring småvatten, ingen utebelysning i flygkorridorer för fladdermöss samt anlagda kompensationsdammar för groddjur</w:t>
      </w:r>
      <w:r>
        <w:t xml:space="preserve"> </w:t>
      </w:r>
      <w:r>
        <w:rPr>
          <w:i/>
          <w:iCs/>
        </w:rPr>
        <w:t xml:space="preserve">innan</w:t>
      </w:r>
      <w:r>
        <w:t xml:space="preserve"> </w:t>
      </w:r>
      <w:r>
        <w:t xml:space="preserve">befintliga fortplantningsområden tas i anspråk. Frågan om eventuellt dispensbehov enligt 14 och 15 §§ artskyddsförordningen bör klarläggas innan planen antas.</w:t>
      </w:r>
    </w:p>
    <w:bookmarkEnd w:id="16"/>
    <w:bookmarkStart w:id="17" w:name="X9e873ee8e21fd547333909036055bd7900cba76"/>
    <w:p>
      <w:pPr>
        <w:pStyle w:val="Heading3"/>
      </w:pPr>
      <w:r>
        <w:t xml:space="preserve">3. Bristfällig undersökning av betydande miljöpåverkan – 6 kap. 5–8 §§ miljöbalken</w:t>
      </w:r>
    </w:p>
    <w:p>
      <w:pPr>
        <w:pStyle w:val="FirstParagraph"/>
      </w:pPr>
      <w:r>
        <w:t xml:space="preserve">Denna punkt bygger på och är processuellt nära kopplad till de artskydds-, strandskydds- och MKN-brister som anförs i punkt 1, 2 och 4.</w:t>
      </w:r>
    </w:p>
    <w:p>
      <w:pPr>
        <w:pStyle w:val="BodyText"/>
      </w:pPr>
      <w:r>
        <w:t xml:space="preserve">Enligt 6 kap. 5–8 §§ miljöbalken samt miljöbedömningsförordningen (2017:966) ska kommunen göra en undersökning av om planens genomförande kan antas medföra betydande miljöpåverkan, och om så är fallet ska en strategisk miljöbedömning genomföras enligt 6 kap. 9–13 §§ miljöbalken med tillhörande miljökonsekvensbeskrivning. Kommunens undersökningsskyldighet följer även av 5 kap. 11 a § och 4 kap. 34 § PBL.</w:t>
      </w:r>
    </w:p>
    <w:p>
      <w:pPr>
        <w:pStyle w:val="BodyText"/>
      </w:pPr>
      <w:r>
        <w:t xml:space="preserve">I planbeskrivningen § 6 anger kommunen att betydande miljöpåverkan inte bedöms föreligga. Vi anser att denna bedömning är otillräckligt motiverad mot bakgrund av:</w:t>
      </w:r>
    </w:p>
    <w:p>
      <w:pPr>
        <w:pStyle w:val="Compact"/>
        <w:numPr>
          <w:ilvl w:val="0"/>
          <w:numId w:val="1005"/>
        </w:numPr>
      </w:pPr>
      <w:r>
        <w:t xml:space="preserve">Strandskyddsupphävande på 3,2 hektar vid två sjöar (se punkt 1).</w:t>
      </w:r>
    </w:p>
    <w:p>
      <w:pPr>
        <w:pStyle w:val="Compact"/>
        <w:numPr>
          <w:ilvl w:val="0"/>
          <w:numId w:val="1005"/>
        </w:numPr>
      </w:pPr>
      <w:r>
        <w:t xml:space="preserve">LIS-tillämpning för ca 30 bostäder i ett område som översiktsplanen själv konstaterar saknar service och kollektivtrafik (se punkt 1).</w:t>
      </w:r>
    </w:p>
    <w:p>
      <w:pPr>
        <w:pStyle w:val="Compact"/>
        <w:numPr>
          <w:ilvl w:val="0"/>
          <w:numId w:val="1005"/>
        </w:numPr>
      </w:pPr>
      <w:r>
        <w:t xml:space="preserve">Förekomst av rapporterade fladdermöss (bilaga IV Art- och habitatdirektivet), dokumenterad brungroda och historisk häckning av storlom (se punkt 2).</w:t>
      </w:r>
    </w:p>
    <w:p>
      <w:pPr>
        <w:pStyle w:val="Compact"/>
        <w:numPr>
          <w:ilvl w:val="0"/>
          <w:numId w:val="1005"/>
        </w:numPr>
      </w:pPr>
      <w:r>
        <w:t xml:space="preserve">Av Länsstyrelsen redan flaggade brister i kommunens hantering av skyfall, ras/skred och artskydd i FÖP Mark Nordväst (se även punkt 5–6 och 7 nedan).</w:t>
      </w:r>
    </w:p>
    <w:p>
      <w:pPr>
        <w:pStyle w:val="Compact"/>
        <w:numPr>
          <w:ilvl w:val="0"/>
          <w:numId w:val="1005"/>
        </w:numPr>
      </w:pPr>
      <w:r>
        <w:t xml:space="preserve">Påverkan på Stora Öresjön, för vilken planbeskrivningen själv (§ 6.3.2, s. 14–15) konstaterar att</w:t>
      </w:r>
      <w:r>
        <w:t xml:space="preserve"> </w:t>
      </w:r>
      <w:r>
        <w:rPr>
          <w:i/>
          <w:iCs/>
        </w:rPr>
        <w:t xml:space="preserve">"God ekologisk status 2033... är kvalitetskraven. Stora Öresjön uppnår inte dessa krav"</w:t>
      </w:r>
      <w:r>
        <w:t xml:space="preserve"> </w:t>
      </w:r>
      <w:r>
        <w:t xml:space="preserve">(se vidare punkt 4).</w:t>
      </w:r>
    </w:p>
    <w:p>
      <w:pPr>
        <w:pStyle w:val="Compact"/>
        <w:numPr>
          <w:ilvl w:val="0"/>
          <w:numId w:val="1005"/>
        </w:numPr>
      </w:pPr>
      <w:r>
        <w:t xml:space="preserve">Kumulativa effekter med beviljade enskilda bygglov i området.</w:t>
      </w:r>
    </w:p>
    <w:p>
      <w:pPr>
        <w:pStyle w:val="FirstParagraph"/>
      </w:pPr>
      <w:r>
        <w:t xml:space="preserve">Som anförs i punkt 2 upphävde MÖD i 2017:49 (Vadstena) en detaljplan just på grunden av otillräcklig MKB-analys av fladdermöss. Vi anser att motsvarande beaktansvärd risk föreligger här, åtminstone vad gäller fladdermöss (4 a § artskyddsförordningen, bilaga IV habitatdirektivet), eftersom inventering helt saknas.</w:t>
      </w:r>
    </w:p>
    <w:p>
      <w:pPr>
        <w:pStyle w:val="BodyText"/>
      </w:pPr>
      <w:r>
        <w:t xml:space="preserve">Vi yrkar att kommunen genomför en ny, fullständig undersökning enligt 6 kap. 6 § miljöbalken med samråd, fattar ett motiverat beslut enligt 6 kap. 7 § miljöbalken, samt – om betydande miljöpåverkan kan antas – upprättar strategisk miljöbedömning och MKB enligt 6 kap. 9–13 §§ miljöbalken innan planen förs vidare.</w:t>
      </w:r>
    </w:p>
    <w:bookmarkEnd w:id="17"/>
    <w:bookmarkStart w:id="20" w:name="X225914521d1b129ae3cac24c50106bf22213163"/>
    <w:p>
      <w:pPr>
        <w:pStyle w:val="Heading3"/>
      </w:pPr>
      <w:r>
        <w:t xml:space="preserve">4. Miljökvalitetsnormer för vatten – 5 kap. 4 § MB, 2 kap. 10 § PBL och ramdirektivet för vatten</w:t>
      </w:r>
    </w:p>
    <w:p>
      <w:pPr>
        <w:pStyle w:val="FirstParagraph"/>
      </w:pPr>
      <w:r>
        <w:t xml:space="preserve">Planbeskrivningen § 6.3.2 (s. 14–15) anger att områdets recipient är Stora Öresjön och att kvalitetskravet är</w:t>
      </w:r>
      <w:r>
        <w:t xml:space="preserve"> </w:t>
      </w:r>
      <w:r>
        <w:rPr>
          <w:i/>
          <w:iCs/>
        </w:rPr>
        <w:t xml:space="preserve">"God ekologisk status 2033"</w:t>
      </w:r>
      <w:r>
        <w:t xml:space="preserve">, samt att</w:t>
      </w:r>
      <w:r>
        <w:t xml:space="preserve"> </w:t>
      </w:r>
      <w:r>
        <w:rPr>
          <w:i/>
          <w:iCs/>
        </w:rPr>
        <w:t xml:space="preserve">"Stora Öresjön uppnår inte dessa krav"</w:t>
      </w:r>
      <w:r>
        <w:t xml:space="preserve">. Enligt Länsstyrelsens databas VISS (vattenförekomst WA35557387 / SE638590-129348) har Stora Öresjön idag</w:t>
      </w:r>
      <w:r>
        <w:t xml:space="preserve"> </w:t>
      </w:r>
      <w:r>
        <w:rPr>
          <w:b/>
          <w:bCs/>
        </w:rPr>
        <w:t xml:space="preserve">måttlig ekologisk status</w:t>
      </w:r>
      <w:r>
        <w:t xml:space="preserve"> </w:t>
      </w:r>
      <w:r>
        <w:t xml:space="preserve">och</w:t>
      </w:r>
      <w:r>
        <w:t xml:space="preserve"> </w:t>
      </w:r>
      <w:r>
        <w:rPr>
          <w:b/>
          <w:bCs/>
        </w:rPr>
        <w:t xml:space="preserve">uppnår ej god kemisk ytvattenstatus</w:t>
      </w:r>
      <w:r>
        <w:t xml:space="preserve"> </w:t>
      </w:r>
      <w:r>
        <w:t xml:space="preserve">(kvicksilver och bromerade difenyletrar). Sjön är dessutom klassad som</w:t>
      </w:r>
      <w:r>
        <w:t xml:space="preserve"> </w:t>
      </w:r>
      <w:r>
        <w:rPr>
          <w:b/>
          <w:bCs/>
        </w:rPr>
        <w:t xml:space="preserve">avloppskänsligt område</w:t>
      </w:r>
      <w:r>
        <w:t xml:space="preserve"> </w:t>
      </w:r>
      <w:r>
        <w:t xml:space="preserve">under Avloppsvattendirektivet samt</w:t>
      </w:r>
      <w:r>
        <w:t xml:space="preserve"> </w:t>
      </w:r>
      <w:r>
        <w:rPr>
          <w:b/>
          <w:bCs/>
        </w:rPr>
        <w:t xml:space="preserve">nitratkänsligt område</w:t>
      </w:r>
      <w:r>
        <w:t xml:space="preserve"> </w:t>
      </w:r>
      <w:r>
        <w:t xml:space="preserve">– två EU-direktivsstyrda skyddsklassificeringar som påkallar strängare krav. LIS-tillägget (sid. 19) anger uttryckligen att</w:t>
      </w:r>
      <w:r>
        <w:t xml:space="preserve"> </w:t>
      </w:r>
      <w:r>
        <w:rPr>
          <w:i/>
          <w:iCs/>
        </w:rPr>
        <w:t xml:space="preserve">"Vid exploatering ska särskild hänsyn tas så att Stora Öresjöns status inte påverkas negativt av förslaget"</w:t>
      </w:r>
      <w:r>
        <w:t xml:space="preserve">. Ca 30 nya bostäder med tillhörande hårdgjorda ytor, dagvattenavrinning, vägtrafik och eventuell privat anläggning i strandnära läge innebär en sådan tillkommande belastning som enligt Weser-domens princip om prövning</w:t>
      </w:r>
      <w:r>
        <w:t xml:space="preserve"> </w:t>
      </w:r>
      <w:r>
        <w:rPr>
          <w:i/>
          <w:iCs/>
        </w:rPr>
        <w:t xml:space="preserve">per kvalitetsfaktor</w:t>
      </w:r>
      <w:r>
        <w:t xml:space="preserve"> </w:t>
      </w:r>
      <w:r>
        <w:t xml:space="preserve">måste analyseras särskilt – inte minst eftersom hydromorfologi i sjöns närområde (i dag klassad</w:t>
      </w:r>
      <w:r>
        <w:t xml:space="preserve"> </w:t>
      </w:r>
      <w:r>
        <w:rPr>
          <w:b/>
          <w:bCs/>
        </w:rPr>
        <w:t xml:space="preserve">Hög</w:t>
      </w:r>
      <w:r>
        <w:t xml:space="preserve">) försämras direkt av exploatering inom strandskyddszonen.</w:t>
      </w:r>
    </w:p>
    <w:p>
      <w:pPr>
        <w:pStyle w:val="BodyText"/>
      </w:pPr>
      <w:r>
        <w:t xml:space="preserve">Enligt</w:t>
      </w:r>
      <w:r>
        <w:t xml:space="preserve"> </w:t>
      </w:r>
      <w:r>
        <w:rPr>
          <w:b/>
          <w:bCs/>
        </w:rPr>
        <w:t xml:space="preserve">5 kap. 4 § miljöbalken</w:t>
      </w:r>
      <w:r>
        <w:t xml:space="preserve"> </w:t>
      </w:r>
      <w:r>
        <w:t xml:space="preserve">får en myndighet eller kommun inte tillåta en verksamhet eller åtgärd som ger upphov till en sådan ändring av vattenmiljön att miljökvalitetsnormer (MKN) för vatten inte kan följas, om inte de särskilda förutsättningar som anges i bestämmelsen är uppfyllda. Enligt</w:t>
      </w:r>
      <w:r>
        <w:t xml:space="preserve"> </w:t>
      </w:r>
      <w:r>
        <w:rPr>
          <w:b/>
          <w:bCs/>
        </w:rPr>
        <w:t xml:space="preserve">2 kap. 10 § PBL</w:t>
      </w:r>
      <w:r>
        <w:t xml:space="preserve"> </w:t>
      </w:r>
      <w:r>
        <w:t xml:space="preserve">ska MKN följas vid planläggning. Försämringsförbudet och kravet att inte äventyra uppnåendet av god status följer även av Europaparlamentets och rådets direktiv 2000/60/EG (ramdirektivet för vatten), tolkat av EU-domstolen i mål C-461/13 (Weser-domen, dom 2015-07-01). Domen klargör att försämringsförbudet är bindande i enskilda projekt- och tillståndsprövningar; vid planläggning får detta genomslag genom miljöbalkens och PBL:s krav på efterlevnad av MKN. Av Weser-domen följer vidare att försämringsförbudet ska prövas</w:t>
      </w:r>
      <w:r>
        <w:t xml:space="preserve"> </w:t>
      </w:r>
      <w:r>
        <w:rPr>
          <w:i/>
          <w:iCs/>
        </w:rPr>
        <w:t xml:space="preserve">per kvalitetsfaktor</w:t>
      </w:r>
      <w:r>
        <w:t xml:space="preserve"> </w:t>
      </w:r>
      <w:r>
        <w:t xml:space="preserve">– varje ytterligare belastning (näring, dagvatten, hårdgjorda ytor) kan utgöra en självständig försämring även om huvudorsaken till nuvarande status ligger någon annanstans.</w:t>
      </w:r>
    </w:p>
    <w:p>
      <w:pPr>
        <w:pStyle w:val="BodyText"/>
      </w:pPr>
      <w:r>
        <w:t xml:space="preserve">Tre konkreta omständigheter förstärker kravet på fördjupad MKN-prövning:</w:t>
      </w:r>
    </w:p>
    <w:p>
      <w:pPr>
        <w:pStyle w:val="Compact"/>
        <w:numPr>
          <w:ilvl w:val="0"/>
          <w:numId w:val="1006"/>
        </w:numPr>
      </w:pPr>
      <w:r>
        <w:rPr>
          <w:b/>
          <w:bCs/>
        </w:rPr>
        <w:t xml:space="preserve">Hydromorfologisk status är HÖG och får inte försämras.</w:t>
      </w:r>
      <w:r>
        <w:t xml:space="preserve"> </w:t>
      </w:r>
      <w:r>
        <w:t xml:space="preserve">Enligt VISS är kvalitetsfaktorerna "Närområdet runt sjöar" och "Svämplanets strukturer och funktion" båda klassade som</w:t>
      </w:r>
      <w:r>
        <w:t xml:space="preserve"> </w:t>
      </w:r>
      <w:r>
        <w:rPr>
          <w:b/>
          <w:bCs/>
        </w:rPr>
        <w:t xml:space="preserve">Hög</w:t>
      </w:r>
      <w:r>
        <w:t xml:space="preserve"> </w:t>
      </w:r>
      <w:r>
        <w:t xml:space="preserve">(endast 3 % modifierat). Planen exploaterar 3,2 ha inom sjöns närområde. Eftersom sammanvägd ekologisk status är måttlig (inte hög), aktiveras försämringsförbudet</w:t>
      </w:r>
      <w:r>
        <w:t xml:space="preserve"> </w:t>
      </w:r>
      <w:r>
        <w:rPr>
          <w:i/>
          <w:iCs/>
        </w:rPr>
        <w:t xml:space="preserve">per kvalitetsfaktor</w:t>
      </w:r>
      <w:r>
        <w:t xml:space="preserve"> </w:t>
      </w:r>
      <w:r>
        <w:t xml:space="preserve">särskilt skarpt för just dessa kvalitetsfaktorer.</w:t>
      </w:r>
    </w:p>
    <w:p>
      <w:pPr>
        <w:pStyle w:val="Compact"/>
        <w:numPr>
          <w:ilvl w:val="0"/>
          <w:numId w:val="1006"/>
        </w:numPr>
      </w:pPr>
      <w:r>
        <w:rPr>
          <w:b/>
          <w:bCs/>
        </w:rPr>
        <w:t xml:space="preserve">Brearetjärnen och övrigt vatten-regeln.</w:t>
      </w:r>
      <w:r>
        <w:t xml:space="preserve"> </w:t>
      </w:r>
      <w:r>
        <w:t xml:space="preserve">Planbeskrivningen försöker avfärda påverkan på Brearetjärnen med att den</w:t>
      </w:r>
      <w:r>
        <w:t xml:space="preserve"> </w:t>
      </w:r>
      <w:r>
        <w:rPr>
          <w:i/>
          <w:iCs/>
        </w:rPr>
        <w:t xml:space="preserve">"har inga beslutade miljökvalitetsnormer (MKN)"</w:t>
      </w:r>
      <w:r>
        <w:t xml:space="preserve">. Detta motbevisas av</w:t>
      </w:r>
      <w:r>
        <w:t xml:space="preserve"> </w:t>
      </w:r>
      <w:hyperlink r:id="rId18">
        <w:r>
          <w:rPr>
            <w:rStyle w:val="Hyperlink"/>
          </w:rPr>
          <w:t xml:space="preserve">Vattenmyndigheternas principer för beslut om miljökvalitetsnormer</w:t>
        </w:r>
      </w:hyperlink>
      <w:r>
        <w:t xml:space="preserve">:</w:t>
      </w:r>
      <w:r>
        <w:t xml:space="preserve"> </w:t>
      </w:r>
      <w:r>
        <w:rPr>
          <w:i/>
          <w:iCs/>
        </w:rPr>
        <w:t xml:space="preserve">"Övrigt vatten, som inte uppfyller kriterierna för att utgöra vattenförekomster, omfattas inte av beslutade miljökvalitetsnormer. Påverkan på sådana vatten får ändå inte riskera att försämra eller motverka nödvändiga förbättringar i statusen för anslutande vattenförekomster."</w:t>
      </w:r>
      <w:r>
        <w:t xml:space="preserve"> </w:t>
      </w:r>
      <w:r>
        <w:t xml:space="preserve">Brearetjärnen omfattas dessutom av hänsynsreglerna i 2 kap. miljöbalken oavsett om den är egen vattenförekomst.</w:t>
      </w:r>
    </w:p>
    <w:p>
      <w:pPr>
        <w:pStyle w:val="Compact"/>
        <w:numPr>
          <w:ilvl w:val="0"/>
          <w:numId w:val="1006"/>
        </w:numPr>
      </w:pPr>
      <w:r>
        <w:rPr>
          <w:b/>
          <w:bCs/>
        </w:rPr>
        <w:t xml:space="preserve">Hg och PBDE-halterna får inte öka.</w:t>
      </w:r>
      <w:r>
        <w:t xml:space="preserve"> </w:t>
      </w:r>
      <w:r>
        <w:t xml:space="preserve">Planbeskrivningens egen text (§ 6.3.2) erkänner att Stora Öresjön har undantag (mindre stränga krav) för kvicksilver och bromerade difenyletrar. VISS anger uttryckligen att</w:t>
      </w:r>
      <w:r>
        <w:t xml:space="preserve"> </w:t>
      </w:r>
      <w:r>
        <w:rPr>
          <w:i/>
          <w:iCs/>
        </w:rPr>
        <w:t xml:space="preserve">"nuvarande halter får dock inte öka. Lokala påverkanskällor som bidrar till sänkt status... ska åtgärdas oavsett det mindre stränga kravet för atmosfärisk deposition."</w:t>
      </w:r>
      <w:r>
        <w:t xml:space="preserve"> </w:t>
      </w:r>
      <w:r>
        <w:t xml:space="preserve">Ny biltrafik genom planområdet är en sådan lokal påverkanskälla som ökar lokal NOx- och tungmetalldeposition.</w:t>
      </w:r>
    </w:p>
    <w:p>
      <w:pPr>
        <w:pStyle w:val="FirstParagraph"/>
      </w:pPr>
      <w:r>
        <w:t xml:space="preserve">Planbeskrivningens MKN-analys (§ 6.3.2) är dessutom internt motsägelsefull: den anger att MKN klaras</w:t>
      </w:r>
      <w:r>
        <w:t xml:space="preserve"> </w:t>
      </w:r>
      <w:r>
        <w:rPr>
          <w:i/>
          <w:iCs/>
        </w:rPr>
        <w:t xml:space="preserve">"förutsatt att fastigheterna ansluts till kommunalt vatten och spillvatten samt att föreslagna dagvattenåtgärder vidtas"</w:t>
      </w:r>
      <w:r>
        <w:t xml:space="preserve"> </w:t>
      </w:r>
      <w:r>
        <w:t xml:space="preserve">(s. 15), men i § 6.4.4 anger samma planbeskrivning att</w:t>
      </w:r>
      <w:r>
        <w:t xml:space="preserve"> </w:t>
      </w:r>
      <w:r>
        <w:rPr>
          <w:i/>
          <w:iCs/>
        </w:rPr>
        <w:t xml:space="preserve">"inga reningsanläggningar för dagvatten och inte heller krav på oljeavskiljare"</w:t>
      </w:r>
      <w:r>
        <w:t xml:space="preserve"> </w:t>
      </w:r>
      <w:r>
        <w:t xml:space="preserve">föreslås (s. 19). Vidare anger § 6.4.5 att</w:t>
      </w:r>
      <w:r>
        <w:t xml:space="preserve"> </w:t>
      </w:r>
      <w:r>
        <w:rPr>
          <w:i/>
          <w:iCs/>
        </w:rPr>
        <w:t xml:space="preserve">"vid ett skyfall kan man inte räkna med att dagvattenmängderna kan ledas bort tillräckligt snabbt"</w:t>
      </w:r>
      <w:r>
        <w:t xml:space="preserve">. Planbeskrivningen redovisar regnintensitet för 100-årsregn (10 min) som 488,8 l/s/ha innan exploatering exklusive klimatfaktor och 684 l/s/ha efter exploatering inklusive klimatfaktor 1,4 – klimatfaktorn höjer alltså den dimensionerande nederbörden med cirka 40 %. Därutöver kan exploateringens tillkommande hårdgjorda ytor öka avrinningsflödena genom högre avrinningskoefficient, vilket behöver hanteras i dagvatten- och skyfallsbedömningen. VA-anslutningen löser inte dagvatten- och hydromorfologifrågan; de "föreslagna dagvattenåtgärderna" som villkoret hänvisar till saknas i praktiken.</w:t>
      </w:r>
    </w:p>
    <w:p>
      <w:pPr>
        <w:pStyle w:val="BodyText"/>
      </w:pPr>
      <w:r>
        <w:t xml:space="preserve">För det fall kommunen avser åberopa undantagsregeln om</w:t>
      </w:r>
      <w:r>
        <w:t xml:space="preserve"> </w:t>
      </w:r>
      <w:r>
        <w:rPr>
          <w:i/>
          <w:iCs/>
        </w:rPr>
        <w:t xml:space="preserve">stort allmänintresse</w:t>
      </w:r>
      <w:r>
        <w:t xml:space="preserve"> </w:t>
      </w:r>
      <w:r>
        <w:t xml:space="preserve">enligt vattenförvaltningsförordningen (2004:660) 4 kap. 11–12 §§ ska detta motiveras uttryckligen och alla genomförbara skyddsåtgärder redovisas. Ren bostadsexploatering om ca 30 enheter har normalt sett inte ansetts utgöra sådant stort allmänintresse som motiverar undantag från försämringsförbudet.</w:t>
      </w:r>
    </w:p>
    <w:p>
      <w:pPr>
        <w:pStyle w:val="BodyText"/>
      </w:pPr>
      <w:r>
        <w:t xml:space="preserve">Planbeskrivningen redovisar därmed inte konkret hur planen säkerställer att MKN för vatten kan följas eller att försämringsförbudet inte överträds. Detta är en självständig brist. Vi yrkar att en vattenförekomstanalys</w:t>
      </w:r>
      <w:r>
        <w:t xml:space="preserve"> </w:t>
      </w:r>
      <w:r>
        <w:rPr>
          <w:i/>
          <w:iCs/>
        </w:rPr>
        <w:t xml:space="preserve">per kvalitetsfaktor</w:t>
      </w:r>
      <w:r>
        <w:t xml:space="preserve"> </w:t>
      </w:r>
      <w:r>
        <w:t xml:space="preserve">upprättas (näringsämnen, hydromorfologi, kemiska ämnen), att dagvattenhanteringen (se vidare punkt 5) och strandexploateringen prövas mot 5 kap. 4 § MB och 2 kap. 10 § PBL, samt att följande arbetas in i planhandlingarna innan planen antas:</w:t>
      </w:r>
    </w:p>
    <w:p>
      <w:pPr>
        <w:pStyle w:val="Compact"/>
        <w:numPr>
          <w:ilvl w:val="0"/>
          <w:numId w:val="1007"/>
        </w:numPr>
      </w:pPr>
      <w:r>
        <w:rPr>
          <w:b/>
          <w:bCs/>
        </w:rPr>
        <w:t xml:space="preserve">Yttrande från Vattenmyndigheten Västerhavet</w:t>
      </w:r>
      <w:r>
        <w:t xml:space="preserve"> </w:t>
      </w:r>
      <w:r>
        <w:t xml:space="preserve">ska inhämtas inför granskningen. Enligt</w:t>
      </w:r>
      <w:r>
        <w:t xml:space="preserve"> </w:t>
      </w:r>
      <w:hyperlink r:id="rId19">
        <w:r>
          <w:rPr>
            <w:rStyle w:val="Hyperlink"/>
          </w:rPr>
          <w:t xml:space="preserve">Vattenmyndigheternas föreskrifter om försämringsförbudet</w:t>
        </w:r>
      </w:hyperlink>
      <w:r>
        <w:t xml:space="preserve"> </w:t>
      </w:r>
      <w:r>
        <w:t xml:space="preserve">gäller uttryckligen:</w:t>
      </w:r>
      <w:r>
        <w:t xml:space="preserve"> </w:t>
      </w:r>
      <w:r>
        <w:rPr>
          <w:i/>
          <w:iCs/>
        </w:rPr>
        <w:t xml:space="preserve">"Innan en myndighet eller kommun tillåter en försämring är det obligatoriskt att begära yttrande från vattenmyndigheten."</w:t>
      </w:r>
    </w:p>
    <w:p>
      <w:pPr>
        <w:pStyle w:val="Compact"/>
        <w:numPr>
          <w:ilvl w:val="0"/>
          <w:numId w:val="1007"/>
        </w:numPr>
      </w:pPr>
      <w:r>
        <w:rPr>
          <w:b/>
          <w:bCs/>
        </w:rPr>
        <w:t xml:space="preserve">Sedimentationsdamm och fosforfilter</w:t>
      </w:r>
      <w:r>
        <w:t xml:space="preserve"> </w:t>
      </w:r>
      <w:r>
        <w:t xml:space="preserve">för dagvatten innan recipient (Brearetjärnen / Stora Öresjön), reglerat med bindande planbestämmelse.</w:t>
      </w:r>
    </w:p>
    <w:p>
      <w:pPr>
        <w:pStyle w:val="Compact"/>
        <w:numPr>
          <w:ilvl w:val="0"/>
          <w:numId w:val="1007"/>
        </w:numPr>
      </w:pPr>
      <w:r>
        <w:rPr>
          <w:b/>
          <w:bCs/>
        </w:rPr>
        <w:t xml:space="preserve">Oljeavskiljare</w:t>
      </w:r>
      <w:r>
        <w:t xml:space="preserve"> </w:t>
      </w:r>
      <w:r>
        <w:t xml:space="preserve">för vägdagvatten.</w:t>
      </w:r>
    </w:p>
    <w:p>
      <w:pPr>
        <w:pStyle w:val="Compact"/>
        <w:numPr>
          <w:ilvl w:val="0"/>
          <w:numId w:val="1007"/>
        </w:numPr>
      </w:pPr>
      <w:r>
        <w:rPr>
          <w:b/>
          <w:bCs/>
        </w:rPr>
        <w:t xml:space="preserve">Skyfallsmagasin</w:t>
      </w:r>
      <w:r>
        <w:t xml:space="preserve"> </w:t>
      </w:r>
      <w:r>
        <w:t xml:space="preserve">dimensionerat för 100-årsregn med klimatfaktor 1,4.</w:t>
      </w:r>
    </w:p>
    <w:p>
      <w:pPr>
        <w:pStyle w:val="Compact"/>
        <w:numPr>
          <w:ilvl w:val="0"/>
          <w:numId w:val="1007"/>
        </w:numPr>
      </w:pPr>
      <w:r>
        <w:rPr>
          <w:b/>
          <w:bCs/>
        </w:rPr>
        <w:t xml:space="preserve">Bindande planbestämmelse</w:t>
      </w:r>
      <w:r>
        <w:t xml:space="preserve"> </w:t>
      </w:r>
      <w:r>
        <w:t xml:space="preserve">om högsta andel hårdgjord yta per fastighet samt grönytefaktor.</w:t>
      </w:r>
    </w:p>
    <w:p>
      <w:pPr>
        <w:pStyle w:val="Compact"/>
        <w:numPr>
          <w:ilvl w:val="0"/>
          <w:numId w:val="1007"/>
        </w:numPr>
      </w:pPr>
      <w:r>
        <w:rPr>
          <w:b/>
          <w:bCs/>
        </w:rPr>
        <w:t xml:space="preserve">Förstärkt skyddszon</w:t>
      </w:r>
      <w:r>
        <w:t xml:space="preserve"> </w:t>
      </w:r>
      <w:r>
        <w:t xml:space="preserve">mot Brearetjärnen och Stora Öresjön, utöver LIS-tilläggets miniminivå på 30 m fri passage, så att den hydromorfologiska kvalitetsfaktorn "närområdet runt sjön" inte försämras.</w:t>
      </w:r>
    </w:p>
    <w:bookmarkEnd w:id="20"/>
    <w:bookmarkEnd w:id="21"/>
    <w:bookmarkStart w:id="25" w:name="b.-hälsa-säkerhet-och-risker-punkt-57"/>
    <w:p>
      <w:pPr>
        <w:pStyle w:val="Heading2"/>
      </w:pPr>
      <w:r>
        <w:t xml:space="preserve">B. Hälsa, säkerhet och risker (punkt 5–7)</w:t>
      </w:r>
    </w:p>
    <w:bookmarkStart w:id="22" w:name="Xb62559e0262b908556114ea3253292c8571f801"/>
    <w:p>
      <w:pPr>
        <w:pStyle w:val="Heading3"/>
      </w:pPr>
      <w:r>
        <w:t xml:space="preserve">5. Dagvatten- och skyfallshantering inte säkerställd – 2 kap. 5 § första stycket 1, 2 och 5 PBL</w:t>
      </w:r>
    </w:p>
    <w:p>
      <w:pPr>
        <w:pStyle w:val="FirstParagraph"/>
      </w:pPr>
      <w:r>
        <w:t xml:space="preserve">Planbeskrivningen erkänner (s. 20) att</w:t>
      </w:r>
      <w:r>
        <w:t xml:space="preserve"> </w:t>
      </w:r>
      <w:r>
        <w:rPr>
          <w:i/>
          <w:iCs/>
        </w:rPr>
        <w:t xml:space="preserve">"flera trummor utgör möjliga 'flaskhalsar'"</w:t>
      </w:r>
      <w:r>
        <w:t xml:space="preserve"> </w:t>
      </w:r>
      <w:r>
        <w:t xml:space="preserve">och att</w:t>
      </w:r>
      <w:r>
        <w:t xml:space="preserve"> </w:t>
      </w:r>
      <w:r>
        <w:rPr>
          <w:i/>
          <w:iCs/>
        </w:rPr>
        <w:t xml:space="preserve">"vid ett skyfall kan man inte räkna med"</w:t>
      </w:r>
      <w:r>
        <w:t xml:space="preserve"> </w:t>
      </w:r>
      <w:r>
        <w:t xml:space="preserve">snabb bortledning. Detaljerade beräkningar har hänvisats till efterföljande bygglovs- och avstyckningsprövning.</w:t>
      </w:r>
    </w:p>
    <w:p>
      <w:pPr>
        <w:pStyle w:val="BodyText"/>
      </w:pPr>
      <w:r>
        <w:t xml:space="preserve">Länsstyrelsen har redan i sitt granskningsyttrande över FÖP Mark Nordväst (2023-01-31, sid. 7) kritiserat avsaknaden av skyfallsstrategi i den fördjupade översiktsplanen:</w:t>
      </w:r>
      <w:r>
        <w:t xml:space="preserve"> </w:t>
      </w:r>
      <w:r>
        <w:rPr>
          <w:i/>
          <w:iCs/>
        </w:rPr>
        <w:t xml:space="preserve">"Kommunen presenterar inte en tydlig strategi för att hantera skyfall... Länsstyrelsen rekommenderar att kommunen tar fram en översiktlig översvämningskartering."</w:t>
      </w:r>
      <w:r>
        <w:t xml:space="preserve"> </w:t>
      </w:r>
      <w:r>
        <w:t xml:space="preserve">Samma brist återkommer nu i detaljplanen.</w:t>
      </w:r>
    </w:p>
    <w:p>
      <w:pPr>
        <w:pStyle w:val="BodyText"/>
      </w:pPr>
      <w:r>
        <w:t xml:space="preserve">Det är kommunens ansvar enligt 2 kap. 5 § första stycket 1, 2 och 5 PBL att tillse att marken är lämplig för det avsedda ändamålet med hänsyn till hälsa och säkerhet samt risken för olyckor, översvämning, erosion och konsekvenser av klimatförändringar. Frågan får inte skjutas till bygglov. I</w:t>
      </w:r>
      <w:r>
        <w:t xml:space="preserve"> </w:t>
      </w:r>
      <w:r>
        <w:rPr>
          <w:b/>
          <w:bCs/>
        </w:rPr>
        <w:t xml:space="preserve">MÖD 2013:20 (mål P 2699-12, Burlöv)</w:t>
      </w:r>
      <w:r>
        <w:t xml:space="preserve"> </w:t>
      </w:r>
      <w:r>
        <w:t xml:space="preserve">upphävde Mark- och miljööverdomstolen en detaljplan på just den grunden, med motiveringen att</w:t>
      </w:r>
      <w:r>
        <w:t xml:space="preserve"> </w:t>
      </w:r>
      <w:r>
        <w:rPr>
          <w:i/>
          <w:iCs/>
        </w:rPr>
        <w:t xml:space="preserve">"kommunen [inte hade] klargjort i detaljplanen att det finns förutsättningar att hantera dagvattnet"</w:t>
      </w:r>
      <w:r>
        <w:t xml:space="preserve"> </w:t>
      </w:r>
      <w:r>
        <w:t xml:space="preserve">och att</w:t>
      </w:r>
      <w:r>
        <w:t xml:space="preserve"> </w:t>
      </w:r>
      <w:r>
        <w:rPr>
          <w:i/>
          <w:iCs/>
        </w:rPr>
        <w:t xml:space="preserve">"vare sig ÄPBL eller PBL ger möjlighet att i samband med bygglov tvinga fram den lösning på dagvattenhanteringen som planbestämmelsen anger"</w:t>
      </w:r>
      <w:r>
        <w:t xml:space="preserve">. Motsvarande brist föreligger i den nu aktuella detaljplanen.</w:t>
      </w:r>
    </w:p>
    <w:p>
      <w:pPr>
        <w:pStyle w:val="BodyText"/>
      </w:pPr>
      <w:r>
        <w:t xml:space="preserve">Dagvattenfrågan har också direkt bäring på MKN för vatten – se vidare punkt 4.</w:t>
      </w:r>
    </w:p>
    <w:p>
      <w:pPr>
        <w:pStyle w:val="BodyText"/>
      </w:pPr>
      <w:r>
        <w:t xml:space="preserve">Vi yrkar att bindande planbestämmelser om dagvattenfördröjning per kvadratmeter hårdgjord yta, skyfallsskydd för nedströms bebyggelse samt skyfallskartering som utgår från minst ett 100-årsregn med klimatfaktor (jfr Länsstyrelsens rekommendation) införs i plankartan innan granskning.</w:t>
      </w:r>
    </w:p>
    <w:bookmarkEnd w:id="22"/>
    <w:bookmarkStart w:id="23" w:name="Xba1af23207126f874923cd8fb0387a84192c69d"/>
    <w:p>
      <w:pPr>
        <w:pStyle w:val="Heading3"/>
      </w:pPr>
      <w:r>
        <w:t xml:space="preserve">6. Ras- och skredrisk samt geoteknik – 2 kap. 5 § första stycket 1 PBL</w:t>
      </w:r>
    </w:p>
    <w:p>
      <w:pPr>
        <w:pStyle w:val="FirstParagraph"/>
      </w:pPr>
      <w:r>
        <w:t xml:space="preserve">Länsstyrelsen har i sitt granskningsyttrande över FÖP Mark Nordväst (2023-01-31, sid. 8) understrukit att</w:t>
      </w:r>
      <w:r>
        <w:t xml:space="preserve"> </w:t>
      </w:r>
      <w:r>
        <w:rPr>
          <w:i/>
          <w:iCs/>
        </w:rPr>
        <w:t xml:space="preserve">"Ras- eller skred måste alltid bedömas i detaljplaner och bygglovsprövningar"</w:t>
      </w:r>
      <w:r>
        <w:t xml:space="preserve">, och hänvisar till SGI:s råd om förtydligande av stabilitetsproblematik. Vi yrkar att planbeskrivningen kompletteras med uttrycklig redovisning av hur ras- och skredrisken hanterats i detaljplanens utformning, och att SGI bereds tillfälle att yttra sig.</w:t>
      </w:r>
    </w:p>
    <w:bookmarkEnd w:id="23"/>
    <w:bookmarkStart w:id="24" w:name="X8c4cef7d56450f92d11ec2aa73e1a459d7dc09c"/>
    <w:p>
      <w:pPr>
        <w:pStyle w:val="Heading3"/>
      </w:pPr>
      <w:r>
        <w:t xml:space="preserve">7. Otillräcklig trafikutredning – 2 kap. 5 § första stycket 1 och 3 samt 2 kap. 6 § första stycket 2 och 6 PBL</w:t>
      </w:r>
    </w:p>
    <w:p>
      <w:pPr>
        <w:pStyle w:val="FirstParagraph"/>
      </w:pPr>
      <w:r>
        <w:t xml:space="preserve">Jägmästarvägen är skyltad 70 km/h, saknar vägren, gång- och cykelväg samt belysning. Den är skolväg där barn cyklar och skolbussen kör.</w:t>
      </w:r>
    </w:p>
    <w:p>
      <w:pPr>
        <w:pStyle w:val="BodyText"/>
      </w:pPr>
      <w:r>
        <w:t xml:space="preserve">LIS-tillägget (sid. 19) anger redan i sin grundbeskrivning av LIS 06 Sjödal att</w:t>
      </w:r>
      <w:r>
        <w:t xml:space="preserve"> </w:t>
      </w:r>
      <w:r>
        <w:rPr>
          <w:i/>
          <w:iCs/>
        </w:rPr>
        <w:t xml:space="preserve">"Biltrafiken kan förväntas öka, då bussturtätheten är låg vid väg 1614"</w:t>
      </w:r>
      <w:r>
        <w:t xml:space="preserve">, och att</w:t>
      </w:r>
      <w:r>
        <w:t xml:space="preserve"> </w:t>
      </w:r>
      <w:r>
        <w:rPr>
          <w:i/>
          <w:iCs/>
        </w:rPr>
        <w:t xml:space="preserve">"Pendelparkeringen vid Källarbacken (sju kilometer från området), där turtätheten är hög, bör ses över för att underlätta för användande av kollektivtrafik."</w:t>
      </w:r>
      <w:r>
        <w:t xml:space="preserve"> </w:t>
      </w:r>
      <w:r>
        <w:t xml:space="preserve">Planen har inte adresserat detta.</w:t>
      </w:r>
    </w:p>
    <w:p>
      <w:pPr>
        <w:pStyle w:val="BodyText"/>
      </w:pPr>
      <w:r>
        <w:t xml:space="preserve">Trafikutredningen 2025-02-14 bedömer att ca 30 nya bostäder inte medför betydande påverkan. Bedömningen är otillräckligt underbyggd:</w:t>
      </w:r>
    </w:p>
    <w:p>
      <w:pPr>
        <w:pStyle w:val="Compact"/>
        <w:numPr>
          <w:ilvl w:val="0"/>
          <w:numId w:val="1008"/>
        </w:numPr>
      </w:pPr>
      <w:r>
        <w:t xml:space="preserve">Uppdaterade trafikmätningar saknas.</w:t>
      </w:r>
    </w:p>
    <w:p>
      <w:pPr>
        <w:pStyle w:val="Compact"/>
        <w:numPr>
          <w:ilvl w:val="0"/>
          <w:numId w:val="1008"/>
        </w:numPr>
      </w:pPr>
      <w:r>
        <w:t xml:space="preserve">Beräkningen av ÅDT inkluderar inte etablerings- och byggtrafik under en upp till tioårig genomförandetid eller tillkommande nyttotrafik (post, paket, sophämtning, varuleveranser, hemtjänst, vårdpersonal).</w:t>
      </w:r>
    </w:p>
    <w:p>
      <w:pPr>
        <w:pStyle w:val="Compact"/>
        <w:numPr>
          <w:ilvl w:val="0"/>
          <w:numId w:val="1008"/>
        </w:numPr>
      </w:pPr>
      <w:r>
        <w:rPr>
          <w:b/>
          <w:bCs/>
        </w:rPr>
        <w:t xml:space="preserve">Behovet av åtgärder och underhåll utanför planområdet</w:t>
      </w:r>
      <w:r>
        <w:t xml:space="preserve"> </w:t>
      </w:r>
      <w:r>
        <w:t xml:space="preserve">är inte adresserat. Jägmästarvägen förvaltas av den lokala samfällighetsföreningen (Lygnersvider ga:1) som ensam ansvarar för väghållningen söder om planområdet. Den ökade trafiken kommer slita på sträckor som inte uppgraderas men trafikeras väsentligt mer, utan att finansiella resurser tilldelats för uppgradering.</w:t>
      </w:r>
    </w:p>
    <w:p>
      <w:pPr>
        <w:pStyle w:val="Compact"/>
        <w:numPr>
          <w:ilvl w:val="0"/>
          <w:numId w:val="1008"/>
        </w:numPr>
      </w:pPr>
      <w:r>
        <w:t xml:space="preserve">Ingen gång- och cykelväg planeras inom eller anslutande till området, trots LIS-tilläggets uttryckliga rekommendation om att GC-väg ska anordnas mellan bebyggelse och strandområde (LIS sid. 19).</w:t>
      </w:r>
    </w:p>
    <w:p>
      <w:pPr>
        <w:pStyle w:val="Compact"/>
        <w:numPr>
          <w:ilvl w:val="0"/>
          <w:numId w:val="1008"/>
        </w:numPr>
      </w:pPr>
      <w:r>
        <w:t xml:space="preserve">Kollektivtrafik saknas, och planen löser inte heller den frågan trots att förbättrad kollektivtrafik åberopas som verkan av LIS-skälet (se även punkt 1).</w:t>
      </w:r>
    </w:p>
    <w:p>
      <w:pPr>
        <w:pStyle w:val="Compact"/>
        <w:numPr>
          <w:ilvl w:val="0"/>
          <w:numId w:val="1008"/>
        </w:numPr>
      </w:pPr>
      <w:r>
        <w:t xml:space="preserve">Pendelparkeringen vid Källarbacken är inte behandlad.</w:t>
      </w:r>
    </w:p>
    <w:p>
      <w:pPr>
        <w:pStyle w:val="Compact"/>
        <w:numPr>
          <w:ilvl w:val="0"/>
          <w:numId w:val="1008"/>
        </w:numPr>
      </w:pPr>
      <w:r>
        <w:rPr>
          <w:b/>
          <w:bCs/>
        </w:rPr>
        <w:t xml:space="preserve">Barnperspektivet</w:t>
      </w:r>
      <w:r>
        <w:t xml:space="preserve"> </w:t>
      </w:r>
      <w:r>
        <w:t xml:space="preserve">– jfr Förenta Nationernas konvention om barnets rättigheter (barnkonventionen), inkorporerad genom lag (2018:1197), särskilt artikel 3.1 – är otillräckligt belyst.</w:t>
      </w:r>
    </w:p>
    <w:p>
      <w:pPr>
        <w:pStyle w:val="FirstParagraph"/>
      </w:pPr>
      <w:r>
        <w:t xml:space="preserve">Vi yrkar att trafikutredningen kompletteras med dagsfärska mätningar, prognos vid full utbyggnad inkl. byggtrafik, säkerhetsanalys för oskyddade trafikanter, samt konkreta trafiksäkerhetshöjande åtgärder (sänkt hastighet, GC-bana, belysning) som bindande planbestämmelser.</w:t>
      </w:r>
    </w:p>
    <w:p>
      <w:pPr>
        <w:pStyle w:val="BodyText"/>
      </w:pPr>
      <w:r>
        <w:rPr>
          <w:b/>
          <w:bCs/>
        </w:rPr>
        <w:t xml:space="preserve">Finansieringsansvar:</w:t>
      </w:r>
      <w:r>
        <w:t xml:space="preserve"> </w:t>
      </w:r>
      <w:r>
        <w:t xml:space="preserve">Det är en grundläggande planprincip att den som genererar en kostnad bör bära den. Den ökade trafiken, eventuella förstärkningsåtgärder och de ökade underhållskostnaderna är direkta följder av exploateringen och bör inte ensidigt belasta befintliga delägare i samfällighetsföreningen för Lygnersvider ga:1 (se vidare punkt 10). Vi yrkar att frågan om</w:t>
      </w:r>
      <w:r>
        <w:t xml:space="preserve"> </w:t>
      </w:r>
      <w:r>
        <w:rPr>
          <w:b/>
          <w:bCs/>
        </w:rPr>
        <w:t xml:space="preserve">kostnadsansvar för utbyggnad och underhåll av Jägmästarvägen regleras i exploateringsavtal</w:t>
      </w:r>
      <w:r>
        <w:t xml:space="preserve"> </w:t>
      </w:r>
      <w:r>
        <w:t xml:space="preserve">mellan kommunen och exploatören enligt 5 kap. 13 § PBL, och att exploateringsavtalet redovisas inför granskningsskedet.</w:t>
      </w:r>
    </w:p>
    <w:bookmarkEnd w:id="24"/>
    <w:bookmarkEnd w:id="25"/>
    <w:bookmarkStart w:id="29" w:name="X906fc7f821ef477cf4ca757ea9ad0f4d9b1108e"/>
    <w:p>
      <w:pPr>
        <w:pStyle w:val="Heading2"/>
      </w:pPr>
      <w:r>
        <w:t xml:space="preserve">C. Karaktär, anpassning och allmänt intresse (punkt 8–9)</w:t>
      </w:r>
    </w:p>
    <w:bookmarkStart w:id="27" w:name="Xa59bb5b4cfbf24eb31936360ec3f1b8bd820534"/>
    <w:p>
      <w:pPr>
        <w:pStyle w:val="Heading3"/>
      </w:pPr>
      <w:r>
        <w:t xml:space="preserve">8. Bristande anpassning till områdets karaktär – 2 kap. 6 § första stycket 1 PBL</w:t>
      </w:r>
    </w:p>
    <w:p>
      <w:pPr>
        <w:pStyle w:val="FirstParagraph"/>
      </w:pPr>
      <w:r>
        <w:t xml:space="preserve">Enligt 2 kap. 6 § första stycket 1 PBL ska bebyggelse utformas och placeras på den avsedda marken på ett sätt som är lämpligt med hänsyn till</w:t>
      </w:r>
      <w:r>
        <w:t xml:space="preserve"> </w:t>
      </w:r>
      <w:r>
        <w:rPr>
          <w:i/>
          <w:iCs/>
        </w:rPr>
        <w:t xml:space="preserve">stads- och landskapsbilden, natur- och kulturvärdena på platsen</w:t>
      </w:r>
      <w:r>
        <w:t xml:space="preserve"> </w:t>
      </w:r>
      <w:r>
        <w:t xml:space="preserve">samt intresset av en god helhetsverkan.</w:t>
      </w:r>
    </w:p>
    <w:p>
      <w:pPr>
        <w:pStyle w:val="BodyText"/>
      </w:pPr>
      <w:r>
        <w:t xml:space="preserve">LIS-tillägget till översiktsplanen (sid. 20) anger uttryckligen att LIS 06B SJÖDAL</w:t>
      </w:r>
      <w:r>
        <w:t xml:space="preserve"> </w:t>
      </w:r>
      <w:r>
        <w:rPr>
          <w:i/>
          <w:iCs/>
        </w:rPr>
        <w:t xml:space="preserve">"bör utformas småskaligt och smälta in i omgivande natur och bebyggelse"</w:t>
      </w:r>
      <w:r>
        <w:t xml:space="preserve">. Småskaligheten är en</w:t>
      </w:r>
      <w:r>
        <w:t xml:space="preserve"> </w:t>
      </w:r>
      <w:r>
        <w:rPr>
          <w:b/>
          <w:bCs/>
        </w:rPr>
        <w:t xml:space="preserve">självständig planeringsförutsättning</w:t>
      </w:r>
      <w:r>
        <w:t xml:space="preserve"> </w:t>
      </w:r>
      <w:r>
        <w:t xml:space="preserve">som gäller utöver, inte i stället för, antalsintervallet 30–50 bostäder. Detaljplanen tillåter en tätare bebyggelsestruktur (särskilt radhus och kedjehus, samt parhus i sammanhållna grupper) i upp till två våningar, vilken svårligen kan kallas småskalig i den mening LIS-tillägget avser ("smälta in i omgivande natur"). Planen avviker därmed från översiktsplanens egna riktlinjer även om antalet bostäder ligger inom det angivna intervallet.</w:t>
      </w:r>
    </w:p>
    <w:p>
      <w:pPr>
        <w:pStyle w:val="BodyText"/>
      </w:pPr>
      <w:r>
        <w:rPr>
          <w:b/>
          <w:bCs/>
        </w:rPr>
        <w:t xml:space="preserve">Kommunens egen tillämpning av identiska LIS-formuleringar talar för en annan bebyggelsetyp.</w:t>
      </w:r>
      <w:r>
        <w:t xml:space="preserve"> </w:t>
      </w:r>
      <w:r>
        <w:t xml:space="preserve">Marks kommun har under 2025 antagit detaljplaner i två andra LIS-områden, där LIS-tillägget använder identisk bebyggelseformulering ("småskaligt och smälta in i omgivande natur och bebyggelse"):</w:t>
      </w:r>
    </w:p>
    <w:p>
      <w:pPr>
        <w:pStyle w:val="Compact"/>
        <w:numPr>
          <w:ilvl w:val="0"/>
          <w:numId w:val="1009"/>
        </w:numPr>
      </w:pPr>
      <w:r>
        <w:rPr>
          <w:b/>
          <w:bCs/>
        </w:rPr>
        <w:t xml:space="preserve">LIS 03B Vännåkra (Vännåkra 2:81, antagen 2025-11-20):</w:t>
      </w:r>
      <w:r>
        <w:t xml:space="preserve"> </w:t>
      </w:r>
      <w:r>
        <w:t xml:space="preserve">Bebyggelsen regleras med bindande planbestämmelse</w:t>
      </w:r>
      <w:r>
        <w:t xml:space="preserve"> </w:t>
      </w:r>
      <w:r>
        <w:rPr>
          <w:i/>
          <w:iCs/>
        </w:rPr>
        <w:t xml:space="preserve">"f₁: Endast friliggande enbostadshus"</w:t>
      </w:r>
      <w:r>
        <w:t xml:space="preserve"> </w:t>
      </w:r>
      <w:r>
        <w:t xml:space="preserve">enligt 4 kap. 16 § p1 PBL, högsta 1–1,5 våning, minsta tomtstorlek 600 m² och högsta bruttoarea 150 m² per fastighet. Citat ur</w:t>
      </w:r>
      <w:r>
        <w:t xml:space="preserve"> </w:t>
      </w:r>
      <w:hyperlink r:id="rId26">
        <w:r>
          <w:rPr>
            <w:rStyle w:val="Hyperlink"/>
          </w:rPr>
          <w:t xml:space="preserve">antagandehandlingen sid 13</w:t>
        </w:r>
      </w:hyperlink>
      <w:r>
        <w:t xml:space="preserve">:</w:t>
      </w:r>
      <w:r>
        <w:t xml:space="preserve"> </w:t>
      </w:r>
      <w:r>
        <w:rPr>
          <w:i/>
          <w:iCs/>
        </w:rPr>
        <w:t xml:space="preserve">"Bestämmelsen syftar till att hålla nere storleken på nya byggnader och därmed bibehålla områdets karaktär."</w:t>
      </w:r>
    </w:p>
    <w:p>
      <w:pPr>
        <w:pStyle w:val="Compact"/>
        <w:numPr>
          <w:ilvl w:val="0"/>
          <w:numId w:val="1009"/>
        </w:numPr>
      </w:pPr>
      <w:r>
        <w:rPr>
          <w:b/>
          <w:bCs/>
        </w:rPr>
        <w:t xml:space="preserve">LIS 05A Melltorp (Melltorp 1:31, Hyssna, antagen 2025-03-13):</w:t>
      </w:r>
      <w:r>
        <w:t xml:space="preserve"> </w:t>
      </w:r>
      <w:r>
        <w:t xml:space="preserve">Detaljplanens syftesbeskrivning anger att planen möjliggör</w:t>
      </w:r>
      <w:r>
        <w:t xml:space="preserve"> </w:t>
      </w:r>
      <w:r>
        <w:rPr>
          <w:i/>
          <w:iCs/>
        </w:rPr>
        <w:t xml:space="preserve">"nybyggnation av 10–12 bostäder i form av friliggande villor eller parhus"</w:t>
      </w:r>
      <w:r>
        <w:t xml:space="preserve"> </w:t>
      </w:r>
      <w:r>
        <w:t xml:space="preserve">i 1–2 plan. Befintlig bebyggelse beskrivs som</w:t>
      </w:r>
      <w:r>
        <w:t xml:space="preserve"> </w:t>
      </w:r>
      <w:r>
        <w:rPr>
          <w:i/>
          <w:iCs/>
        </w:rPr>
        <w:t xml:space="preserve">"friliggande villor med byggnadsareor mellan 120 och 250 kvadratmeter"</w:t>
      </w:r>
      <w:r>
        <w:t xml:space="preserve">.</w:t>
      </w:r>
    </w:p>
    <w:p>
      <w:pPr>
        <w:pStyle w:val="FirstParagraph"/>
      </w:pPr>
      <w:r>
        <w:t xml:space="preserve">När kommunen har avvikit från denna praxis i ett LIS-område (LIS 07D Smälteryd, Lygnesvider 1:29, samråd 2025-10-22, med radhus och flerbostadshus i 2–5 våningar och 200 bostäder) har det skett vid</w:t>
      </w:r>
      <w:r>
        <w:t xml:space="preserve"> </w:t>
      </w:r>
      <w:r>
        <w:rPr>
          <w:b/>
          <w:bCs/>
        </w:rPr>
        <w:t xml:space="preserve">Sätila tätort</w:t>
      </w:r>
      <w:r>
        <w:t xml:space="preserve"> </w:t>
      </w:r>
      <w:r>
        <w:t xml:space="preserve">– Mark Nordvästs största ort med ca 1 200 invånare, förskolor, skolor, vårdcentral och livsmedelsaffär – styrd av FÖP Mark Nordväst som anger "medelhög till hög täthet". Smälteryd-området består dessutom av en nedlagd anstalt och är delvis ianspråktaget som bostad och för jordbruk, vilket utgör en självständig strandskyddsgrund (7 kap. 18 c § första stycket 1 miljöbalken, äldre lydelse) som inte finns i Sjödal. Smälteryd är därmed inte ett glesbygds-LIS jämförbart med Sjödal.</w:t>
      </w:r>
    </w:p>
    <w:p>
      <w:pPr>
        <w:pStyle w:val="BodyText"/>
      </w:pPr>
      <w:r>
        <w:t xml:space="preserve">LIS 06B Sjödal har enligt LIS-tilläggets egen beskrivning (sid. 20) karaktären av</w:t>
      </w:r>
      <w:r>
        <w:t xml:space="preserve"> </w:t>
      </w:r>
      <w:r>
        <w:rPr>
          <w:i/>
          <w:iCs/>
        </w:rPr>
        <w:t xml:space="preserve">"flera mindre bebyggelsegrupper utefter Sjödalsvägen med såväl åretrunt- som fritidshus"</w:t>
      </w:r>
      <w:r>
        <w:t xml:space="preserve">, och området är uttryckligen</w:t>
      </w:r>
      <w:r>
        <w:t xml:space="preserve"> </w:t>
      </w:r>
      <w:r>
        <w:rPr>
          <w:i/>
          <w:iCs/>
        </w:rPr>
        <w:t xml:space="preserve">"i sig inte en länkad ort, men bedöms ingå i den länkade orten Ubbhult"</w:t>
      </w:r>
      <w:r>
        <w:t xml:space="preserve">. Sjödal saknar lokal service (vårdcentral, livsmedelsbutik) och är därmed jämförbart med Vännåkra och Melltorp, inte med Smälteryd.</w:t>
      </w:r>
    </w:p>
    <w:p>
      <w:pPr>
        <w:pStyle w:val="BodyText"/>
      </w:pPr>
      <w:r>
        <w:t xml:space="preserve">Argumentet vilar inte på en formell likabehandlingsprincip – översiktsplaner är vägledande enligt 3 kap. 2 § PBL och varje detaljplan prövas individuellt – utan på att kommunens egen tillämpning av identiska ord ("småskaligt och smälta in i omgivande natur och bebyggelse") i identisk LIS-kontext utgör ett relevant tolkningsunderlag. När kommunen själv har konkretiserat "småskaligt" som friliggande villor (eller, i Melltorp, villor eller parhus) i 1–1,5 plan med begränsad byggnadsarea i två andra glesbygds-LIS, behövs en uttrycklig motivering för varför samma uttryck ska tolkas annorlunda för Sjödal. LIS-tilläggets spann om 30–50 bostäder för Sjödal är inte heller ett argument för radhus, eftersom spannet i sig förutsätter att bebyggelsen utformas "småskaligt".</w:t>
      </w:r>
    </w:p>
    <w:p>
      <w:pPr>
        <w:pStyle w:val="BodyText"/>
      </w:pPr>
      <w:r>
        <w:t xml:space="preserve">Enligt</w:t>
      </w:r>
      <w:r>
        <w:t xml:space="preserve"> </w:t>
      </w:r>
      <w:r>
        <w:rPr>
          <w:b/>
          <w:bCs/>
        </w:rPr>
        <w:t xml:space="preserve">4 kap. 33 § första stycket 5 PBL</w:t>
      </w:r>
      <w:r>
        <w:t xml:space="preserve"> </w:t>
      </w:r>
      <w:r>
        <w:t xml:space="preserve">ska planbeskrivningen, om planen avviker från översiktsplanens vägledning, redovisa på vilket sätt avvikelsen sker och skälen till den. I förarbetena (prop. 1985/86:1 s. 618) framhålls att kommunen ska uppmärksamma sakägare och myndigheter när planeringsinriktningen ändras. I MÖD 2014:12 (Uppsala Seminariet) upphävde Mark- och miljööverdomstolen en detaljplan på den grunden att avvikelsen från översiktsplanen inte hade redovisats i kungörelse och planbeskrivning – förfarandefelet ensamt rättfärdigade upphävandet. Den tidigare tillämpningen i Vännåkra och Melltorp är i första hand tolkningsunderlag för vad LIS-tilläggets "småskaligt" innebär; den förstärker dock kravet på att en avvikande tolkning i Sjödal ska motiveras uttryckligen i planbeskrivningen. Sådan redovisning saknas.</w:t>
      </w:r>
    </w:p>
    <w:p>
      <w:pPr>
        <w:pStyle w:val="BodyText"/>
      </w:pPr>
      <w:r>
        <w:t xml:space="preserve">Vi yrkar att bebyggelsen utformas så att LIS 06B SJÖDAL:s uttryckliga krav på småskalighet uppfylls och att kommunens egen tillämpning i jämförbara glesbygds-LIS-områden (Vännåkra och Melltorp) följs – att</w:t>
      </w:r>
      <w:r>
        <w:t xml:space="preserve"> </w:t>
      </w:r>
      <w:r>
        <w:rPr>
          <w:b/>
          <w:bCs/>
        </w:rPr>
        <w:t xml:space="preserve">radhus och kedjehus utgår</w:t>
      </w:r>
      <w:r>
        <w:t xml:space="preserve"> </w:t>
      </w:r>
      <w:r>
        <w:t xml:space="preserve">till förmån för friliggande enbostadshus, att eventuell parhusbebyggelse endast medges om den underordnas en småskalig struktur (jfr Melltorp 1:31), att högsta tillåtna byggnadshöjd och exploateringsgrad begränsas genom bindande planbestämmelser, och att tomtstorlekar och placering anpassas till omgivande natur och bebyggelse.</w:t>
      </w:r>
    </w:p>
    <w:bookmarkEnd w:id="27"/>
    <w:bookmarkStart w:id="28" w:name="X4aeda60106852e7e05cf9ac74d349a8ed579613"/>
    <w:p>
      <w:pPr>
        <w:pStyle w:val="Heading3"/>
      </w:pPr>
      <w:r>
        <w:t xml:space="preserve">9. Den allmänna badplatsens funktion och officialservitut 15-SÄT-914</w:t>
      </w:r>
    </w:p>
    <w:p>
      <w:pPr>
        <w:pStyle w:val="FirstParagraph"/>
      </w:pPr>
      <w:r>
        <w:t xml:space="preserve">Badplatsen, som ursprungligen tillkom genom förrättning 1962 (akt 15-SÄT-914), är en gemensam tillgång av stor betydelse. Långsiktig tillgänglighet förutsätter:</w:t>
      </w:r>
    </w:p>
    <w:p>
      <w:pPr>
        <w:pStyle w:val="Compact"/>
        <w:numPr>
          <w:ilvl w:val="0"/>
          <w:numId w:val="1010"/>
        </w:numPr>
      </w:pPr>
      <w:r>
        <w:t xml:space="preserve">Att passagevägen säkras genom planbestämmelse oavsett hur kvartersmark fördelas efter avstyckning.</w:t>
      </w:r>
    </w:p>
    <w:p>
      <w:pPr>
        <w:pStyle w:val="Compact"/>
        <w:numPr>
          <w:ilvl w:val="0"/>
          <w:numId w:val="1010"/>
        </w:numPr>
      </w:pPr>
      <w:r>
        <w:t xml:space="preserve">Att avsedd plats för vinterförvaring av bryggan finns med på plankartan.</w:t>
      </w:r>
    </w:p>
    <w:p>
      <w:pPr>
        <w:pStyle w:val="Compact"/>
        <w:numPr>
          <w:ilvl w:val="0"/>
          <w:numId w:val="1010"/>
        </w:numPr>
      </w:pPr>
      <w:r>
        <w:t xml:space="preserve">Att officialservituten enligt akt 15-SÄT-914 m.fl. uttryckligen redovisas (se även punkt 11) och inte påverkas negativt. Om kommunen avser att reglera servitut genom planen ska detta ske uttryckligen enligt 4 kap. 18 § PBL och med konsekvensanalys enligt 4 kap. 33 § PBL; i annat fall ska servitutsfrågor avgöras genom lantmäteriförrättning enligt fastighetsbildningslagen 7 kap. 4–5 §§.</w:t>
      </w:r>
    </w:p>
    <w:bookmarkEnd w:id="28"/>
    <w:bookmarkEnd w:id="29"/>
    <w:bookmarkStart w:id="33" w:name="X8b5066fc3589ca0c0b4eaa656049a0f22d1731f"/>
    <w:p>
      <w:pPr>
        <w:pStyle w:val="Heading2"/>
      </w:pPr>
      <w:r>
        <w:t xml:space="preserve">D. Fastighetsrättsliga och formella frågor (punkt 10–12)</w:t>
      </w:r>
    </w:p>
    <w:bookmarkStart w:id="30" w:name="X0afe4e62b6b596f38d838b6e4fdfd71705a5c0d"/>
    <w:p>
      <w:pPr>
        <w:pStyle w:val="Heading3"/>
      </w:pPr>
      <w:r>
        <w:t xml:space="preserve">10. Konsekvenser för Lygnersvider ga:1 och den förvaltande samfällighetsföreningen</w:t>
      </w:r>
    </w:p>
    <w:p>
      <w:pPr>
        <w:pStyle w:val="FirstParagraph"/>
      </w:pPr>
      <w:r>
        <w:t xml:space="preserve">Jägmästarvägen förvaltas av en lokal samfällighetsförening genom gemensamhetsanläggningen Lygnersvider ga:1. Anslutning av ca 30 nya fastigheter påverkar samtliga nuvarande delägare väsentligt:</w:t>
      </w:r>
    </w:p>
    <w:p>
      <w:pPr>
        <w:pStyle w:val="Compact"/>
        <w:numPr>
          <w:ilvl w:val="0"/>
          <w:numId w:val="1011"/>
        </w:numPr>
      </w:pPr>
      <w:r>
        <w:rPr>
          <w:b/>
          <w:bCs/>
        </w:rPr>
        <w:t xml:space="preserve">Andelstal och kostnadsfördelning</w:t>
      </w:r>
      <w:r>
        <w:t xml:space="preserve"> </w:t>
      </w:r>
      <w:r>
        <w:t xml:space="preserve">ändras – samtliga befintliga delägare påverkas av att nya andelar tillkommer och av hur Lantmäteriet sätter andelstalen för de nya fastigheterna. Anslutning prövas av Lantmäteriet enligt anläggningslagen 42 a och 43 §§.</w:t>
      </w:r>
    </w:p>
    <w:p>
      <w:pPr>
        <w:pStyle w:val="Compact"/>
        <w:numPr>
          <w:ilvl w:val="0"/>
          <w:numId w:val="1011"/>
        </w:numPr>
      </w:pPr>
      <w:r>
        <w:rPr>
          <w:b/>
          <w:bCs/>
        </w:rPr>
        <w:t xml:space="preserve">Slitage och underhållsbörda</w:t>
      </w:r>
      <w:r>
        <w:t xml:space="preserve"> </w:t>
      </w:r>
      <w:r>
        <w:t xml:space="preserve">ökar – särskilt på den del av Jägmästarvägen söder om planområdet som inte uppgraderas men trafikeras väsentligt mer. Kostnaden för anläggningens kapacitetshöjning, slitage och underhåll under och efter genomförandetiden ligger på sträckor och anläggningar som föreningen och dess delägare förvaltar (se även punkt 7 om finansieringsansvar).</w:t>
      </w:r>
    </w:p>
    <w:p>
      <w:pPr>
        <w:pStyle w:val="Compact"/>
        <w:numPr>
          <w:ilvl w:val="0"/>
          <w:numId w:val="1011"/>
        </w:numPr>
      </w:pPr>
      <w:r>
        <w:rPr>
          <w:b/>
          <w:bCs/>
        </w:rPr>
        <w:t xml:space="preserve">Föreningens administrativa börda</w:t>
      </w:r>
      <w:r>
        <w:t xml:space="preserve"> </w:t>
      </w:r>
      <w:r>
        <w:t xml:space="preserve">ökar – införlivande av ett betydande antal nya delägare medför arbete med uppdatering av andelstal, debitering, stämmoförvaltning och eventuell omprövning av anläggningsbeslut.</w:t>
      </w:r>
    </w:p>
    <w:p>
      <w:pPr>
        <w:pStyle w:val="FirstParagraph"/>
      </w:pPr>
      <w:r>
        <w:t xml:space="preserve">De skyddsregler för deltagande fastigheter som följer av 5 och 6 §§ AL kan enligt 6 a § AL undantas om detaljplanen innehåller en bestämmelse om gemensamhetsanläggning och Lantmäteriets beslut fattas under planens genomförandetid. Det innebär att de normala skyddsreglerna för befintliga delägare riskerar att sättas ur spel av planen själv. Konsekvenserna för befintliga delägare måste därför redovisas och utredas redan i planhandlingarna, inte hänvisas till en senare lantmäteriförrättning där skyddsreglerna inte längre gäller.</w:t>
      </w:r>
    </w:p>
    <w:p>
      <w:pPr>
        <w:pStyle w:val="BodyText"/>
      </w:pPr>
      <w:r>
        <w:t xml:space="preserve">Vi begär:</w:t>
      </w:r>
    </w:p>
    <w:p>
      <w:pPr>
        <w:pStyle w:val="Compact"/>
        <w:numPr>
          <w:ilvl w:val="0"/>
          <w:numId w:val="1012"/>
        </w:numPr>
      </w:pPr>
      <w:r>
        <w:t xml:space="preserve">Att samfällighetsföreningen för Lygnersvider ga:1 kallas som sakägare och bereds tillfälle att yttra sig.</w:t>
      </w:r>
    </w:p>
    <w:p>
      <w:pPr>
        <w:pStyle w:val="Compact"/>
        <w:numPr>
          <w:ilvl w:val="0"/>
          <w:numId w:val="1012"/>
        </w:numPr>
      </w:pPr>
      <w:r>
        <w:t xml:space="preserve">Att Marks kommun inhämtar ett uttryckligt yttrande från Lantmäterimyndigheten över planförslaget enligt 5 kap. 11 § PBL, och beaktar Lantmäteriets särskilda granskningsroll enligt 5 kap. 15 § PBL. Att Lantmäteriet i januari 2026 kontrollerat fastighetsgränser (s. 35) är inte samråd över planförslaget i lagens mening.</w:t>
      </w:r>
    </w:p>
    <w:p>
      <w:pPr>
        <w:pStyle w:val="Compact"/>
        <w:numPr>
          <w:ilvl w:val="0"/>
          <w:numId w:val="1012"/>
        </w:numPr>
      </w:pPr>
      <w:r>
        <w:t xml:space="preserve">Att planbeskrivningen omformuleras så att den korrekt återger att frågan om servitutens fortsatta giltighet och om GA-anslutning prövas av Lantmäteriet, inte i planprocessen.</w:t>
      </w:r>
    </w:p>
    <w:p>
      <w:pPr>
        <w:pStyle w:val="Compact"/>
        <w:numPr>
          <w:ilvl w:val="0"/>
          <w:numId w:val="1012"/>
        </w:numPr>
      </w:pPr>
      <w:r>
        <w:t xml:space="preserve">Att</w:t>
      </w:r>
      <w:r>
        <w:t xml:space="preserve"> </w:t>
      </w:r>
      <w:r>
        <w:rPr>
          <w:b/>
          <w:bCs/>
        </w:rPr>
        <w:t xml:space="preserve">kostnadsansvar för utbyggnad och underhåll av Jägmästarvägen regleras i exploateringsavtal</w:t>
      </w:r>
      <w:r>
        <w:t xml:space="preserve"> </w:t>
      </w:r>
      <w:r>
        <w:t xml:space="preserve">mellan kommunen och exploatören enligt 5 kap. 13 § PBL (se punkt 7), så att ekonomiska konsekvenser av exploateringen inte ensidigt belastar befintliga delägare i föreningen.</w:t>
      </w:r>
    </w:p>
    <w:bookmarkEnd w:id="30"/>
    <w:bookmarkStart w:id="31" w:name="Xa036e2129c3c0fcb784c1c6024fdb81b9532fee"/>
    <w:p>
      <w:pPr>
        <w:pStyle w:val="Heading3"/>
      </w:pPr>
      <w:r>
        <w:t xml:space="preserve">11. Bristande planbeskrivning och rättighetsredovisning – 4 kap. 33 § PBL</w:t>
      </w:r>
    </w:p>
    <w:p>
      <w:pPr>
        <w:pStyle w:val="FirstParagraph"/>
      </w:pPr>
      <w:r>
        <w:t xml:space="preserve">Enligt 4 kap. 33 § första stycket 3 och tredje stycket PBL ska planbeskrivningen redovisa hur planen är avsedd att genomföras, samt de fastighetsrättsliga åtgärder som behövs och konsekvenserna av dem. Rättighetstabellen i § 7.2.3 (s. 35–36) är väsentligt ofullständig. Följande officialservitut som belastar Ubbhult 2:2 efter förrättning 1463-1017 (registrerad 2008-08-07) är inte redovisade:</w:t>
      </w:r>
    </w:p>
    <w:p>
      <w:pPr>
        <w:pStyle w:val="Compact"/>
        <w:numPr>
          <w:ilvl w:val="0"/>
          <w:numId w:val="1013"/>
        </w:numPr>
      </w:pPr>
      <w:r>
        <w:t xml:space="preserve">1463-1017.G (vägrätt, förmån Ubbhult 2:11)</w:t>
      </w:r>
    </w:p>
    <w:p>
      <w:pPr>
        <w:pStyle w:val="Compact"/>
        <w:numPr>
          <w:ilvl w:val="0"/>
          <w:numId w:val="1013"/>
        </w:numPr>
      </w:pPr>
      <w:r>
        <w:t xml:space="preserve">15-SÄT-914.A (vägrätt, förmån Ubbhult 2:8 och 2:9)</w:t>
      </w:r>
    </w:p>
    <w:p>
      <w:pPr>
        <w:pStyle w:val="Compact"/>
        <w:numPr>
          <w:ilvl w:val="0"/>
          <w:numId w:val="1013"/>
        </w:numPr>
      </w:pPr>
      <w:r>
        <w:t xml:space="preserve">15-SÄT-914.B (bad- och båtplats, förmån Ubbhult 2:9, belastar 2:2 och 2:11) – jfr punkt 9</w:t>
      </w:r>
    </w:p>
    <w:p>
      <w:pPr>
        <w:pStyle w:val="Compact"/>
        <w:numPr>
          <w:ilvl w:val="0"/>
          <w:numId w:val="1013"/>
        </w:numPr>
      </w:pPr>
      <w:r>
        <w:t xml:space="preserve">15-SÄT-603.C (vägrätt, förmån Ubbhult 2:4)</w:t>
      </w:r>
    </w:p>
    <w:p>
      <w:pPr>
        <w:pStyle w:val="Compact"/>
        <w:numPr>
          <w:ilvl w:val="0"/>
          <w:numId w:val="1013"/>
        </w:numPr>
      </w:pPr>
      <w:r>
        <w:t xml:space="preserve">15-SÄT-746.D (vägrätt, förmån Ubbhult 2:10)</w:t>
      </w:r>
    </w:p>
    <w:p>
      <w:pPr>
        <w:pStyle w:val="FirstParagraph"/>
      </w:pPr>
      <w:r>
        <w:t xml:space="preserve">Bristen utgör en väsentlig brist i planunderlaget enligt 4 kap. 33 § PBL och kan utgöra grund för upphävande av antagandebeslut. Denna brist är processuellt nära kopplad till planbeskrivningens otillräckliga redovisning av konsekvenser för badplatsen (punkt 9) och Lygnersvider ga:1 (punkt 10).</w:t>
      </w:r>
    </w:p>
    <w:bookmarkEnd w:id="31"/>
    <w:bookmarkStart w:id="32" w:name="formella-brister-i-samrådsförfarandet"/>
    <w:p>
      <w:pPr>
        <w:pStyle w:val="Heading3"/>
      </w:pPr>
      <w:r>
        <w:t xml:space="preserve">12. Formella brister i samrådsförfarandet</w:t>
      </w:r>
    </w:p>
    <w:p>
      <w:pPr>
        <w:pStyle w:val="Compact"/>
        <w:numPr>
          <w:ilvl w:val="0"/>
          <w:numId w:val="1014"/>
        </w:numPr>
      </w:pPr>
      <w:r>
        <w:rPr>
          <w:b/>
          <w:bCs/>
        </w:rPr>
        <w:t xml:space="preserve">Fastighetsbeteckningsfel.</w:t>
      </w:r>
      <w:r>
        <w:t xml:space="preserve"> </w:t>
      </w:r>
      <w:r>
        <w:t xml:space="preserve">Kommunens egen projektsida rubriksätter detaljplanen som "HÅKANKILA 1:19" (verifierat och skärmdumpat 2026-05-18), medan brödtext, planbeskrivning och plankarta avser "Håkankila 1:8". Detta skapar osäkerhet om vilka sakägare som har underrättats.</w:t>
      </w:r>
    </w:p>
    <w:p>
      <w:pPr>
        <w:pStyle w:val="Compact"/>
        <w:numPr>
          <w:ilvl w:val="0"/>
          <w:numId w:val="1014"/>
        </w:numPr>
      </w:pPr>
      <w:r>
        <w:rPr>
          <w:b/>
          <w:bCs/>
        </w:rPr>
        <w:t xml:space="preserve">Oklarhet om planhandlingarnas slutgiltiga form.</w:t>
      </w:r>
      <w:r>
        <w:t xml:space="preserve"> </w:t>
      </w:r>
      <w:r>
        <w:t xml:space="preserve">Planbeskrivningen anger "Plankarta 2026-02-16", medan den publicerade plankartan är daterad 2026-04-29. I</w:t>
      </w:r>
      <w:r>
        <w:t xml:space="preserve"> </w:t>
      </w:r>
      <w:r>
        <w:rPr>
          <w:b/>
          <w:bCs/>
        </w:rPr>
        <w:t xml:space="preserve">MÖD 2022:5 (mål P 7791-21)</w:t>
      </w:r>
      <w:r>
        <w:t xml:space="preserve"> </w:t>
      </w:r>
      <w:r>
        <w:t xml:space="preserve">upphävde Mark- och miljööverdomstolen en detaljplan eftersom det inte med tillräcklig tydlighet kunde utläsas vilken plankarta som faktiskt antagits. Principen om planhandlingars entydiga identifierbarhet är överförbar redan på samrådsskedet. Vi begär klargörande av vilken version som är gällande samrådshandling, och att eventuell ersättningsversion förses med tydlig revisionsangivelse.</w:t>
      </w:r>
    </w:p>
    <w:p>
      <w:pPr>
        <w:pStyle w:val="Compact"/>
        <w:numPr>
          <w:ilvl w:val="0"/>
          <w:numId w:val="1014"/>
        </w:numPr>
      </w:pPr>
      <w:r>
        <w:rPr>
          <w:b/>
          <w:bCs/>
        </w:rPr>
        <w:t xml:space="preserve">Fastighetsförteckningen</w:t>
      </w:r>
      <w:r>
        <w:t xml:space="preserve"> </w:t>
      </w:r>
      <w:r>
        <w:t xml:space="preserve">(SWECO 2026-02-27) är inte publik (vilket är förenligt med PBL). Vi begär enligt 5 kap. 9 § PBL utdrag för kontroll av att samtliga sakägare och rättighetshavare till de under punkt 11 angivna servituten är medtagna.</w:t>
      </w:r>
    </w:p>
    <w:p>
      <w:pPr>
        <w:pStyle w:val="Compact"/>
        <w:numPr>
          <w:ilvl w:val="0"/>
          <w:numId w:val="1014"/>
        </w:numPr>
      </w:pPr>
      <w:r>
        <w:rPr>
          <w:b/>
          <w:bCs/>
        </w:rPr>
        <w:t xml:space="preserve">Felaktigt val av planförfarande.</w:t>
      </w:r>
      <w:r>
        <w:t xml:space="preserve"> </w:t>
      </w:r>
      <w:r>
        <w:t xml:space="preserve">Kommunen hanterar planen med standardförfarande. Enligt</w:t>
      </w:r>
      <w:r>
        <w:t xml:space="preserve"> </w:t>
      </w:r>
      <w:r>
        <w:rPr>
          <w:b/>
          <w:bCs/>
        </w:rPr>
        <w:t xml:space="preserve">5 kap. 7 § första stycket PBL</w:t>
      </w:r>
      <w:r>
        <w:t xml:space="preserve"> </w:t>
      </w:r>
      <w:r>
        <w:t xml:space="preserve">får standardförfarande endast tillämpas om planförslaget bl.a. (p. 2) inte är av betydande intresse för allmänheten eller i övrigt av stor betydelse, och (p. 3) inte kan antas medföra en betydande miljöpåverkan. Med hänsyn till strandskyddsupphävandet (punkt 1), artskyddsfrågorna (punkt 2), MKB-frågan (punkt 3), MKN för vatten (punkt 4), de fastighetsrättsliga konsekvenserna för Lygnersvider ga:1 (punkt 10) samt de skyfalls- och översvämningsrisker som Länsstyrelsen redan flaggat i FÖP-skedet (punkt 5), gör vi gällande att förutsättningarna i 5 kap. 7 § första stycket 2 och 3 PBL inte är uppfyllda. Förfarandet borde därmed varit utökat. Vid utökat förfarande gäller skarpare krav på kungörelse, granskningstid och inhämtande av yttranden.</w:t>
      </w:r>
    </w:p>
    <w:p>
      <w:pPr>
        <w:pStyle w:val="Compact"/>
        <w:numPr>
          <w:ilvl w:val="0"/>
          <w:numId w:val="1014"/>
        </w:numPr>
      </w:pPr>
      <w:r>
        <w:rPr>
          <w:b/>
          <w:bCs/>
        </w:rPr>
        <w:t xml:space="preserve">Sakägarinformation.</w:t>
      </w:r>
      <w:r>
        <w:t xml:space="preserve"> </w:t>
      </w:r>
      <w:r>
        <w:t xml:space="preserve">Vi begär att samrådsmöte hålls fysiskt med kommunens handläggare och exploatör närvarande, alternativt att samrådstiden förlängs så att de oklarheter som denna skrivelse pekar ut kan ventileras innan granskning.</w:t>
      </w:r>
    </w:p>
    <w:bookmarkEnd w:id="32"/>
    <w:bookmarkEnd w:id="33"/>
    <w:bookmarkStart w:id="38" w:name="sammanfattning"/>
    <w:p>
      <w:pPr>
        <w:pStyle w:val="Heading2"/>
      </w:pPr>
      <w:r>
        <w:t xml:space="preserve">Sammanfattning</w:t>
      </w:r>
    </w:p>
    <w:p>
      <w:pPr>
        <w:pStyle w:val="FirstParagraph"/>
      </w:pPr>
      <w:r>
        <w:t xml:space="preserve">Detaljplaneförslaget i nuvarande form är behäftat med både materiella och formella brister. Vi sammanfattar dessa i samma fyra tematiska kluster som ovan. För prioritetsordning bland huvudgrunderna hänvisas till översikten i början av yttrandet.</w:t>
      </w:r>
    </w:p>
    <w:bookmarkStart w:id="34" w:name="materiella-miljörättsliga-grunder"/>
    <w:p>
      <w:pPr>
        <w:pStyle w:val="Heading4"/>
      </w:pPr>
      <w:r>
        <w:t xml:space="preserve">Materiella miljörättsliga grunder</w:t>
      </w:r>
    </w:p>
    <w:p>
      <w:pPr>
        <w:pStyle w:val="Compact"/>
        <w:numPr>
          <w:ilvl w:val="0"/>
          <w:numId w:val="1015"/>
        </w:numPr>
      </w:pPr>
      <w:r>
        <w:t xml:space="preserve">Otillräckligt motiverat strandskyddsupphävande (4 kap. 17 § PBL och 7 kap. 18 e, 18 g, 18 i §§ MB, motsvarande äldre 18 c, 18 d, 18 f §§) – punkt 1.</w:t>
      </w:r>
    </w:p>
    <w:p>
      <w:pPr>
        <w:pStyle w:val="Compact"/>
        <w:numPr>
          <w:ilvl w:val="0"/>
          <w:numId w:val="1015"/>
        </w:numPr>
      </w:pPr>
      <w:r>
        <w:t xml:space="preserve">Bristande artskyddsutredning för fladdermöss, fåglar och groddjur (4 a och 6 §§ artskyddsförordningen, bilaga IV till Art- och habitatdirektivet, fågeldirektivet bilaga 1) – punkt 2.</w:t>
      </w:r>
    </w:p>
    <w:p>
      <w:pPr>
        <w:pStyle w:val="Compact"/>
        <w:numPr>
          <w:ilvl w:val="0"/>
          <w:numId w:val="1015"/>
        </w:numPr>
      </w:pPr>
      <w:r>
        <w:t xml:space="preserve">Bristfällig undersökning av betydande miljöpåverkan (6 kap. 5–8 §§ MB) – punkt 3.</w:t>
      </w:r>
    </w:p>
    <w:p>
      <w:pPr>
        <w:pStyle w:val="Compact"/>
        <w:numPr>
          <w:ilvl w:val="0"/>
          <w:numId w:val="1015"/>
        </w:numPr>
      </w:pPr>
      <w:r>
        <w:t xml:space="preserve">Bristande beaktande av miljökvalitetsnormer för vatten (5 kap. 4 § MB, 2 kap. 10 § PBL, ramdirektivet 2000/60/EG) – punkt 4.</w:t>
      </w:r>
    </w:p>
    <w:bookmarkEnd w:id="34"/>
    <w:bookmarkStart w:id="35" w:name="hälsa-säkerhet-och-risker"/>
    <w:p>
      <w:pPr>
        <w:pStyle w:val="Heading4"/>
      </w:pPr>
      <w:r>
        <w:t xml:space="preserve">Hälsa, säkerhet och risker</w:t>
      </w:r>
    </w:p>
    <w:p>
      <w:pPr>
        <w:pStyle w:val="Compact"/>
        <w:numPr>
          <w:ilvl w:val="0"/>
          <w:numId w:val="1016"/>
        </w:numPr>
      </w:pPr>
      <w:r>
        <w:t xml:space="preserve">Ej säkerställd dagvatten-/skyfallshantering (2 kap. 5 § p. 1, 2 och 5 PBL) – punkt 5.</w:t>
      </w:r>
    </w:p>
    <w:p>
      <w:pPr>
        <w:pStyle w:val="Compact"/>
        <w:numPr>
          <w:ilvl w:val="0"/>
          <w:numId w:val="1016"/>
        </w:numPr>
      </w:pPr>
      <w:r>
        <w:t xml:space="preserve">Ej säkerställd hantering av ras- och skredrisk (2 kap. 5 § p. 1 PBL) – punkt 6.</w:t>
      </w:r>
    </w:p>
    <w:p>
      <w:pPr>
        <w:pStyle w:val="Compact"/>
        <w:numPr>
          <w:ilvl w:val="0"/>
          <w:numId w:val="1016"/>
        </w:numPr>
      </w:pPr>
      <w:r>
        <w:t xml:space="preserve">Otillräcklig trafikutredning (2 kap. 5 § p. 1 och 3 samt 2 kap. 6 § p. 2 och 6 PBL) – punkt 7.</w:t>
      </w:r>
    </w:p>
    <w:bookmarkEnd w:id="35"/>
    <w:bookmarkStart w:id="36" w:name="karaktär-anpassning-och-allmänt-intresse"/>
    <w:p>
      <w:pPr>
        <w:pStyle w:val="Heading4"/>
      </w:pPr>
      <w:r>
        <w:t xml:space="preserve">Karaktär, anpassning och allmänt intresse</w:t>
      </w:r>
    </w:p>
    <w:p>
      <w:pPr>
        <w:pStyle w:val="Compact"/>
        <w:numPr>
          <w:ilvl w:val="0"/>
          <w:numId w:val="1017"/>
        </w:numPr>
      </w:pPr>
      <w:r>
        <w:t xml:space="preserve">Bristande anpassning till områdets karaktär och avvikelse från LIS-tilläggets krav på småskalighet (2 kap. 6 § PBL) – punkt 8.</w:t>
      </w:r>
    </w:p>
    <w:p>
      <w:pPr>
        <w:pStyle w:val="Compact"/>
        <w:numPr>
          <w:ilvl w:val="0"/>
          <w:numId w:val="1017"/>
        </w:numPr>
      </w:pPr>
      <w:r>
        <w:t xml:space="preserve">Otydlig hantering av badplats och officialservitut 15-SÄT-914 – punkt 9.</w:t>
      </w:r>
    </w:p>
    <w:bookmarkEnd w:id="36"/>
    <w:bookmarkStart w:id="37" w:name="fastighetsrättsliga-och-formella-frågor"/>
    <w:p>
      <w:pPr>
        <w:pStyle w:val="Heading4"/>
      </w:pPr>
      <w:r>
        <w:t xml:space="preserve">Fastighetsrättsliga och formella frågor</w:t>
      </w:r>
    </w:p>
    <w:p>
      <w:pPr>
        <w:pStyle w:val="Compact"/>
        <w:numPr>
          <w:ilvl w:val="0"/>
          <w:numId w:val="1018"/>
        </w:numPr>
      </w:pPr>
      <w:r>
        <w:t xml:space="preserve">Otydlig hantering av Lygnersvider ga:1 och föregripande av Lantmäteriets prövning – punkt 10.</w:t>
      </w:r>
    </w:p>
    <w:p>
      <w:pPr>
        <w:pStyle w:val="Compact"/>
        <w:numPr>
          <w:ilvl w:val="0"/>
          <w:numId w:val="1018"/>
        </w:numPr>
      </w:pPr>
      <w:r>
        <w:t xml:space="preserve">Ofullständig planbeskrivning (4 kap. 33 § PBL) – punkt 11.</w:t>
      </w:r>
    </w:p>
    <w:p>
      <w:pPr>
        <w:pStyle w:val="Compact"/>
        <w:numPr>
          <w:ilvl w:val="0"/>
          <w:numId w:val="1018"/>
        </w:numPr>
      </w:pPr>
      <w:r>
        <w:t xml:space="preserve">Formella brister i samrådsförfarandet, inkl. felaktigt val av planförfarande (5 kap. 7 § PBL) – punkt 12.</w:t>
      </w:r>
    </w:p>
    <w:p>
      <w:pPr>
        <w:pStyle w:val="FirstParagraph"/>
      </w:pPr>
      <w:r>
        <w:t xml:space="preserve">Flera av dessa brister har Länsstyrelsen redan kritiserat i sitt granskningsyttrande över FÖP Mark Nordväst (2023-01-31). De kvarstår nu i detaljplanen.</w:t>
      </w:r>
    </w:p>
    <w:p>
      <w:pPr>
        <w:pStyle w:val="BodyText"/>
      </w:pPr>
      <w:r>
        <w:t xml:space="preserve">Förslaget bör därför inte antas i dess nuvarande form utan omarbetas väsentligt och föras till nytt samråd enligt yrkanden ovan.</w:t>
      </w:r>
    </w:p>
    <w:p>
      <w:pPr>
        <w:pStyle w:val="BodyText"/>
      </w:pPr>
      <w:r>
        <w:t xml:space="preserve">Vi förbehåller oss rätten att överklaga ett kommande antagandebeslut enligt 13 kap. 11 § PBL och begär att samtliga undertecknande underrättas inför granskningsskedet enligt 5 kap. 20 § PBL och vid antagandebeslut enligt 5 kap. 30 § PBL.</w:t>
      </w:r>
    </w:p>
    <w:p>
      <w:pPr>
        <w:pStyle w:val="BodyText"/>
      </w:pPr>
      <w:r>
        <w:t xml:space="preserve">Med vänlig hälsning,</w:t>
      </w:r>
      <w:r>
        <w:br/>
      </w:r>
      <w:r>
        <w:br/>
      </w:r>
      <w:r>
        <w:rPr>
          <w:b/>
          <w:bCs/>
        </w:rPr>
        <w:t xml:space="preserve">[Undertecknande fastighetsägare]</w:t>
      </w:r>
      <w:r>
        <w:br/>
      </w:r>
      <w:r>
        <w:t xml:space="preserve">[Kontaktperson på begäran]</w:t>
      </w:r>
      <w:r>
        <w:br/>
      </w:r>
      <w:r>
        <w:t xml:space="preserve">[Kontaktuppgifter på begäran]</w:t>
      </w:r>
    </w:p>
    <w:p>
      <w:pPr>
        <w:pStyle w:val="BodyText"/>
      </w:pPr>
      <w:r>
        <w:rPr>
          <w:b/>
          <w:bCs/>
        </w:rPr>
        <w:t xml:space="preserve">Bilagor:</w:t>
      </w:r>
      <w:r>
        <w:br/>
      </w:r>
      <w:r>
        <w:t xml:space="preserve">Bilaga 1 – Förteckning över undertecknande fastighetsägare med fastighetsbeteckningar (samtliga räknas som enskilda sakägare enligt 5 kap. 11 § PBL).</w:t>
      </w:r>
      <w:r>
        <w:br/>
      </w:r>
      <w:r>
        <w:t xml:space="preserve">Bilaga 2 – Skärmdump av kommunens projektsida 2026-05-18 (visande rubriken "HÅKANKILA 1:19", kan tillhandahållas vid begäran).</w:t>
      </w:r>
      <w:r>
        <w:br/>
      </w:r>
      <w:r>
        <w:t xml:space="preserve">Bilaga 3 – Länsstyrelsens granskningsyttrande över FÖP Mark Nordväst, 2023-01-31, dnr 401-50227-2022 (åberopas i flera avsnitt ovan).</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sv"/>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github.com/johanclawson/oresjon_samradsyttrande" TargetMode="External" /><Relationship Type="http://schemas.openxmlformats.org/officeDocument/2006/relationships/hyperlink" Id="rId26" Target="https://karta.mark.se/plandokument/Planhandlingar/V%C3%84NN%C3%85KRA%202_81/PLANHANDLINGAR/Antagande%202025-11-20/N%C3%A4mndsbeslut%20Plan-%20och%20genomf%C3%B6randebeskrivning%20antagandehandling%202025-11-11.pdf" TargetMode="External" /><Relationship Type="http://schemas.openxmlformats.org/officeDocument/2006/relationships/hyperlink" Id="rId15" Target="https://www.boverket.se/globalassets/publikationer/dokument/2026/artskyddet-i-samhallsplaneringen-vagledning.pdf" TargetMode="External" /><Relationship Type="http://schemas.openxmlformats.org/officeDocument/2006/relationships/hyperlink" Id="rId19" Target="https://www.vattenmyndigheterna.se/vattenforvaltning/miljokvalitetsnormer-for-vatten/forsamringsforbud.html" TargetMode="External" /><Relationship Type="http://schemas.openxmlformats.org/officeDocument/2006/relationships/hyperlink" Id="rId18" Target="https://www.vattenmyndigheterna.se/vattenforvaltning/miljokvalitetsnormer-for-vatten/principer-for-beslut-om-miljokvalitetsnormer.html" TargetMode="External" /></Relationships>
</file>

<file path=word/_rels/footnotes.xml.rels><?xml version="1.0" encoding="UTF-8"?><Relationships xmlns="http://schemas.openxmlformats.org/package/2006/relationships"><Relationship Type="http://schemas.openxmlformats.org/officeDocument/2006/relationships/hyperlink" Id="rId9" Target="https://github.com/johanclawson/oresjon_samradsyttrande" TargetMode="External" /><Relationship Type="http://schemas.openxmlformats.org/officeDocument/2006/relationships/hyperlink" Id="rId26" Target="https://karta.mark.se/plandokument/Planhandlingar/V%C3%84NN%C3%85KRA%202_81/PLANHANDLINGAR/Antagande%202025-11-20/N%C3%A4mndsbeslut%20Plan-%20och%20genomf%C3%B6randebeskrivning%20antagandehandling%202025-11-11.pdf" TargetMode="External" /><Relationship Type="http://schemas.openxmlformats.org/officeDocument/2006/relationships/hyperlink" Id="rId15" Target="https://www.boverket.se/globalassets/publikationer/dokument/2026/artskyddet-i-samhallsplaneringen-vagledning.pdf" TargetMode="External" /><Relationship Type="http://schemas.openxmlformats.org/officeDocument/2006/relationships/hyperlink" Id="rId19" Target="https://www.vattenmyndigheterna.se/vattenforvaltning/miljokvalitetsnormer-for-vatten/forsamringsforbud.html" TargetMode="External" /><Relationship Type="http://schemas.openxmlformats.org/officeDocument/2006/relationships/hyperlink" Id="rId18" Target="https://www.vattenmyndigheterna.se/vattenforvaltning/miljokvalitetsnormer-for-vatten/principer-for-beslut-om-miljokvalitetsnormer.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Förslag – kollektivt yttrande, Detaljplan PLAN.2024.747</dc:title>
  <dc:creator/>
  <dc:language>sv</dc:language>
  <cp:keywords/>
  <dcterms:created xsi:type="dcterms:W3CDTF">2026-05-22T20:23:14Z</dcterms:created>
  <dcterms:modified xsi:type="dcterms:W3CDTF">2026-05-22T20:23:14Z</dcterms:modified>
</cp:coreProperties>
</file>

<file path=docProps/custom.xml><?xml version="1.0" encoding="utf-8"?>
<Properties xmlns="http://schemas.openxmlformats.org/officeDocument/2006/custom-properties" xmlns:vt="http://schemas.openxmlformats.org/officeDocument/2006/docPropsVTypes"/>
</file>