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FÖRSTA UTKAST.</w:t>
      </w:r>
      <w:r>
        <w:t xml:space="preserve"> </w:t>
      </w:r>
      <w:r>
        <w:t xml:space="preserve">Detta dokument är ett första utkast. Korrekturläs noggrant, anpassa till era förhållanden och var införstådd med innehållet innan inlämning till myndighet.</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 enligt bilagd förteckning]</w:t>
      </w:r>
    </w:p>
    <w:p>
      <w:r>
        <w:pict>
          <v:rect style="width:0;height:1.5pt" o:hralign="center" o:hrstd="t" o:hr="t"/>
        </w:pict>
      </w:r>
    </w:p>
    <w:bookmarkStart w:id="9"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w:t>
      </w:r>
    </w:p>
    <w:p>
      <w:pPr>
        <w:pStyle w:val="BodyText"/>
      </w:pPr>
      <w:r>
        <w:t xml:space="preserve">Vi vill inledningsvis vara tydliga:</w:t>
      </w:r>
      <w:r>
        <w:t xml:space="preserve"> </w:t>
      </w:r>
      <w:r>
        <w:rPr>
          <w:b/>
          <w:bCs/>
        </w:rPr>
        <w:t xml:space="preserve">vi är inte negativt inställda till att det byggs nya bostäder i Ubbhult</w:t>
      </w:r>
      <w:r>
        <w:t xml:space="preserve">. Vi ser positivt på att vår del av kommunen utvecklas. Våra synpunkter handlar inte om att motsätta oss utveckling, utan om att</w:t>
      </w:r>
      <w:r>
        <w:t xml:space="preserve"> </w:t>
      </w:r>
      <w:r>
        <w:rPr>
          <w:b/>
          <w:bCs/>
        </w:rPr>
        <w:t xml:space="preserve">det aktuella förslaget är olämpligt i sin nuvarande omfattning och utformning</w:t>
      </w:r>
      <w:r>
        <w:t xml:space="preserve"> </w:t>
      </w:r>
      <w:r>
        <w:t xml:space="preserve">och om att</w:t>
      </w:r>
      <w:r>
        <w:t xml:space="preserve"> </w:t>
      </w:r>
      <w:r>
        <w:rPr>
          <w:b/>
          <w:bCs/>
        </w:rPr>
        <w:t xml:space="preserve">planhandlingarna är behäftade med formella och materiella brister</w:t>
      </w:r>
      <w:r>
        <w:t xml:space="preserve"> </w:t>
      </w:r>
      <w:r>
        <w:t xml:space="preserve">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9"/>
    <w:bookmarkStart w:id="10"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sex tunga grunder:</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där en detaljplan upphävdes på grund av otillräcklig MKB-analys av fladdermöss.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Se punkt 8 nedan.</w:t>
      </w:r>
    </w:p>
    <w:p>
      <w:pPr>
        <w:pStyle w:val="Compact"/>
        <w:numPr>
          <w:ilvl w:val="0"/>
          <w:numId w:val="1001"/>
        </w:numPr>
      </w:pPr>
      <w:r>
        <w:rPr>
          <w:b/>
          <w:bCs/>
        </w:rPr>
        <w:t xml:space="preserve">Planbeskrivningen är väsentligt ofullständig vad gäller officialservitut och fastighetsrättsliga konsekvenser</w:t>
      </w:r>
      <w:r>
        <w:t xml:space="preserve"> </w:t>
      </w:r>
      <w:r>
        <w:t xml:space="preserve">– brott mot 4 kap. 33 § PBL och föregriper Lantmäteriets prövning. Se punkt 11 nedan (med direkt anknytning till punkt 9 och 10).</w:t>
      </w:r>
    </w:p>
    <w:p>
      <w:pPr>
        <w:pStyle w:val="Compact"/>
        <w:numPr>
          <w:ilvl w:val="0"/>
          <w:numId w:val="1001"/>
        </w:numPr>
      </w:pPr>
      <w:r>
        <w:rPr>
          <w:b/>
          <w:bCs/>
        </w:rPr>
        <w:t xml:space="preserve">Felaktigt val av planförfarande – ett självständigt processuellt fel</w:t>
      </w:r>
      <w:r>
        <w:t xml:space="preserve"> </w:t>
      </w:r>
      <w:r>
        <w:t xml:space="preserve">– med hänsyn till de materiella grunder som anförs i punkterna 1–4 ovan och de fastighetsrättsliga konsekvenserna i punkterna 10–11 är planen av betydande intresse för allmänheten och kan antas medföra betydande miljöpåverkan. Standardförfarande är därmed inte tillämpligt enligt 5 kap. 7 § första stycket 2 och 3 PBL; planen borde ha hanterats med utökat förfarande. Se punkt 12 nedan.</w:t>
      </w:r>
    </w:p>
    <w:p>
      <w:pPr>
        <w:pStyle w:val="FirstParagraph"/>
      </w:pPr>
      <w:r>
        <w:t xml:space="preserve">Därutöver framförs kompletterande grunder rörande dagvatten/skyfall (punkt 5), ras/skred (punkt 6), trafiksäkerhet (punkt 7), badplatsen (punkt 9) samt Lygnersvider ga:1 (punkt 10).</w:t>
      </w:r>
    </w:p>
    <w:bookmarkEnd w:id="10"/>
    <w:bookmarkStart w:id="11" w:name="yrkanden"/>
    <w:p>
      <w:pPr>
        <w:pStyle w:val="Heading2"/>
      </w:pPr>
      <w:r>
        <w:t xml:space="preserve">Yrkanden</w:t>
      </w:r>
    </w:p>
    <w:p>
      <w:pPr>
        <w:pStyle w:val="FirstParagraph"/>
      </w:pPr>
      <w:r>
        <w:t xml:space="preserve">Undertecknande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w:t>
      </w:r>
      <w:r>
        <w:t xml:space="preserve"> </w:t>
      </w:r>
      <w:r>
        <w:rPr>
          <w:b/>
          <w:bCs/>
        </w:rPr>
        <w:t xml:space="preserve">11 kap. 10 § PBL</w:t>
      </w:r>
      <w:r>
        <w:t xml:space="preserve">.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1"/>
    <w:bookmarkStart w:id="12" w:name="grunder"/>
    <w:p>
      <w:pPr>
        <w:pStyle w:val="Heading2"/>
      </w:pPr>
      <w:r>
        <w:t xml:space="preserve">Grunder</w:t>
      </w:r>
    </w:p>
    <w:bookmarkEnd w:id="12"/>
    <w:bookmarkStart w:id="17" w:name="Xcd40aac22d21782080e4b23ad3698bf7a0e1974"/>
    <w:p>
      <w:pPr>
        <w:pStyle w:val="Heading2"/>
      </w:pPr>
      <w:r>
        <w:t xml:space="preserve">A. Materiella miljörättsliga grunder (punkt 1–4)</w:t>
      </w:r>
    </w:p>
    <w:bookmarkStart w:id="13"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w:t>
      </w:r>
      <w:r>
        <w:t xml:space="preserve"> </w:t>
      </w:r>
      <w:r>
        <w:rPr>
          <w:b/>
          <w:bCs/>
        </w:rPr>
        <w:t xml:space="preserve">4 kap. 17 § PBL</w:t>
      </w:r>
      <w:r>
        <w:t xml:space="preserve">,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w:t>
      </w:r>
      <w:r>
        <w:t xml:space="preserve"> </w:t>
      </w:r>
      <w:r>
        <w:rPr>
          <w:b/>
          <w:bCs/>
        </w:rPr>
        <w:t xml:space="preserve">7 kap. 18 e § MB</w:t>
      </w:r>
      <w:r>
        <w:t xml:space="preserve"> </w:t>
      </w:r>
      <w:r>
        <w:t xml:space="preserve">– de allmänna särskilda skälen (motsvarande äldre 18 c §)</w:t>
      </w:r>
    </w:p>
    <w:p>
      <w:pPr>
        <w:pStyle w:val="Compact"/>
        <w:numPr>
          <w:ilvl w:val="0"/>
          <w:numId w:val="1002"/>
        </w:numPr>
      </w:pPr>
      <w:r>
        <w:t xml:space="preserve">Nuvarande</w:t>
      </w:r>
      <w:r>
        <w:t xml:space="preserve"> </w:t>
      </w:r>
      <w:r>
        <w:rPr>
          <w:b/>
          <w:bCs/>
        </w:rPr>
        <w:t xml:space="preserve">7 kap. 18 g § MB</w:t>
      </w:r>
      <w:r>
        <w:t xml:space="preserve"> </w:t>
      </w:r>
      <w:r>
        <w:t xml:space="preserve">– LIS-skälet (motsvarande äldre 18 d §)</w:t>
      </w:r>
    </w:p>
    <w:p>
      <w:pPr>
        <w:pStyle w:val="Compact"/>
        <w:numPr>
          <w:ilvl w:val="0"/>
          <w:numId w:val="1002"/>
        </w:numPr>
      </w:pPr>
      <w:r>
        <w:t xml:space="preserve">Nuvarande</w:t>
      </w:r>
      <w:r>
        <w:t xml:space="preserve"> </w:t>
      </w:r>
      <w:r>
        <w:rPr>
          <w:b/>
          <w:bCs/>
        </w:rPr>
        <w:t xml:space="preserve">7 kap. 18 i § MB</w:t>
      </w:r>
      <w:r>
        <w:t xml:space="preserve"> </w:t>
      </w:r>
      <w:r>
        <w:t xml:space="preserve">–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rPr>
          <w:b/>
          <w:bCs/>
        </w:rPr>
        <w:t xml:space="preserve">"Ianspråktagen mark / sammanhållen bebyggelse"</w:t>
      </w:r>
      <w:r>
        <w:t xml:space="preserve"> </w:t>
      </w:r>
      <w:r>
        <w:t xml:space="preserve">(skäl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w:t>
      </w:r>
      <w:r>
        <w:t xml:space="preserve"> </w:t>
      </w:r>
      <w:r>
        <w:rPr>
          <w:b/>
          <w:bCs/>
        </w:rPr>
        <w:t xml:space="preserve">mål P 5876-18 (dom 2019-03-19)</w:t>
      </w:r>
      <w:r>
        <w:t xml:space="preserve"> </w:t>
      </w:r>
      <w:r>
        <w:t xml:space="preserve">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w:t>
      </w:r>
      <w:r>
        <w:t xml:space="preserve"> </w:t>
      </w:r>
      <w:r>
        <w:rPr>
          <w:b/>
          <w:bCs/>
        </w:rPr>
        <w:t xml:space="preserve">MÖD P 9670-20 (dom 2021-03-26)</w:t>
      </w:r>
      <w:r>
        <w:t xml:space="preserve"> </w:t>
      </w:r>
      <w:r>
        <w:t xml:space="preserve">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rPr>
          <w:b/>
          <w:bCs/>
        </w:rPr>
        <w:t xml:space="preserve">Fri passage</w:t>
      </w:r>
      <w:r>
        <w:t xml:space="preserve"> </w:t>
      </w:r>
      <w:r>
        <w:t xml:space="preserve">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w:t>
      </w:r>
      <w:r>
        <w:t xml:space="preserve"> </w:t>
      </w:r>
      <w:r>
        <w:rPr>
          <w:b/>
          <w:bCs/>
        </w:rPr>
        <w:t xml:space="preserve">MÖD P 2498-22 (dom 2023-07-06)</w:t>
      </w:r>
      <w:r>
        <w:t xml:space="preserve"> </w:t>
      </w:r>
      <w:r>
        <w:t xml:space="preserve">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rPr>
          <w:b/>
          <w:bCs/>
        </w:rPr>
        <w:t xml:space="preserve">"Hänsyn till naturvärden"</w:t>
      </w:r>
      <w:r>
        <w:t xml:space="preserve"> </w:t>
      </w:r>
      <w:r>
        <w:t xml:space="preserve">(skäl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3"/>
    <w:bookmarkStart w:id="14"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w:t>
      </w:r>
      <w:r>
        <w:t xml:space="preserve"> </w:t>
      </w:r>
      <w:r>
        <w:rPr>
          <w:b/>
          <w:bCs/>
        </w:rPr>
        <w:t xml:space="preserve">brungroda</w:t>
      </w:r>
      <w:r>
        <w:t xml:space="preserve"> </w:t>
      </w:r>
      <w:r>
        <w:t xml:space="preserve">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w:t>
      </w:r>
      <w:r>
        <w:t xml:space="preserve"> </w:t>
      </w:r>
      <w:r>
        <w:rPr>
          <w:b/>
          <w:bCs/>
        </w:rPr>
        <w:t xml:space="preserve">fladdermöss</w:t>
      </w:r>
      <w:r>
        <w:t xml:space="preserve"> </w:t>
      </w:r>
      <w:r>
        <w:t xml:space="preserve">i hela planområdet och dess närhet.</w:t>
      </w:r>
    </w:p>
    <w:p>
      <w:pPr>
        <w:pStyle w:val="Compact"/>
        <w:numPr>
          <w:ilvl w:val="0"/>
          <w:numId w:val="1004"/>
        </w:numPr>
      </w:pPr>
      <w:r>
        <w:rPr>
          <w:b/>
          <w:bCs/>
        </w:rPr>
        <w:t xml:space="preserve">Samtliga vilda fåglar</w:t>
      </w:r>
      <w:r>
        <w:t xml:space="preserve"> </w:t>
      </w:r>
      <w:r>
        <w:t xml:space="preserve">är skyddade enligt</w:t>
      </w:r>
      <w:r>
        <w:t xml:space="preserve"> </w:t>
      </w:r>
      <w:r>
        <w:rPr>
          <w:b/>
          <w:bCs/>
        </w:rPr>
        <w:t xml:space="preserve">4 § artskyddsförordningen</w:t>
      </w:r>
      <w:r>
        <w:t xml:space="preserve"> </w:t>
      </w:r>
      <w:r>
        <w:t xml:space="preserve">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rPr>
          <w:b/>
          <w:bCs/>
        </w:rPr>
        <w:t xml:space="preserve">Samtliga svenska grod- och kräldjur</w:t>
      </w:r>
      <w:r>
        <w:t xml:space="preserve"> </w:t>
      </w:r>
      <w:r>
        <w:t xml:space="preserve">är fridlysta enligt</w:t>
      </w:r>
      <w:r>
        <w:t xml:space="preserve"> </w:t>
      </w:r>
      <w:r>
        <w:rPr>
          <w:b/>
          <w:bCs/>
        </w:rPr>
        <w:t xml:space="preserve">6 § artskyddsförordningen</w:t>
      </w:r>
      <w:r>
        <w:t xml:space="preserve">: förbud mot att döda, skada, fånga eller samla in exemplar, samt mot att ta bort eller skada ägg, rom, larver eller bon. För arter i bilaga 1 till artskyddsförordningen gäller dessutom det skarpare skyddet enligt</w:t>
      </w:r>
      <w:r>
        <w:t xml:space="preserve"> </w:t>
      </w:r>
      <w:r>
        <w:rPr>
          <w:b/>
          <w:bCs/>
        </w:rPr>
        <w:t xml:space="preserve">4 a § första stycket 4 artskyddsförordningen</w:t>
      </w:r>
      <w:r>
        <w:t xml:space="preserve"> </w:t>
      </w:r>
      <w:r>
        <w:t xml:space="preserve">(motsvarande den tidigare 4 § första stycket 4 som åberopades i MÖD 2017:49) – förbud mot att skada eller förstöra deras fortplantnings- eller viloplatser.</w:t>
      </w:r>
    </w:p>
    <w:p>
      <w:pPr>
        <w:pStyle w:val="Compact"/>
        <w:numPr>
          <w:ilvl w:val="0"/>
          <w:numId w:val="1004"/>
        </w:numPr>
      </w:pPr>
      <w:r>
        <w:rPr>
          <w:b/>
          <w:bCs/>
        </w:rPr>
        <w:t xml:space="preserve">Samtliga svenska fladdermusarter</w:t>
      </w:r>
      <w:r>
        <w:t xml:space="preserve"> </w:t>
      </w:r>
      <w:r>
        <w:t xml:space="preserve">är upptagna i bilaga 1 till artskyddsförordningen och omfattas av det strikta skyddet enligt</w:t>
      </w:r>
      <w:r>
        <w:t xml:space="preserve"> </w:t>
      </w:r>
      <w:r>
        <w:rPr>
          <w:b/>
          <w:bCs/>
        </w:rPr>
        <w:t xml:space="preserve">4 a § artskyddsförordningen</w:t>
      </w:r>
      <w:r>
        <w:t xml:space="preserve">.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w:t>
      </w:r>
      <w:r>
        <w:t xml:space="preserve"> </w:t>
      </w:r>
      <w:r>
        <w:rPr>
          <w:b/>
          <w:bCs/>
        </w:rPr>
        <w:t xml:space="preserve">MÖD 2017:49 (mål P 11166-16, dom 2017-12-01)</w:t>
      </w:r>
      <w:r>
        <w:t xml:space="preserve"> </w:t>
      </w:r>
      <w:r>
        <w:t xml:space="preserve">–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w:t>
      </w:r>
      <w:r>
        <w:t xml:space="preserve"> </w:t>
      </w:r>
      <w:r>
        <w:rPr>
          <w:b/>
          <w:bCs/>
        </w:rPr>
        <w:t xml:space="preserve">MÖD 2014:4 (mål P 2823-13)</w:t>
      </w:r>
      <w:r>
        <w:t xml:space="preserve"> </w:t>
      </w:r>
      <w:r>
        <w:t xml:space="preserve">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Frågan om eventuellt dispensbehov enligt 14 och 15 §§ artskyddsförordningen bör klarläggas innan planen antas.</w:t>
      </w:r>
    </w:p>
    <w:bookmarkEnd w:id="14"/>
    <w:bookmarkStart w:id="15"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6.4.1, s. 13)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5"/>
    <w:bookmarkStart w:id="16"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6.4.1 (s. 13)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utgör reell risk för ytterligare negativ påverkan på vattenförekomstens status.</w:t>
      </w:r>
    </w:p>
    <w:p>
      <w:pPr>
        <w:pStyle w:val="BodyText"/>
      </w:pPr>
      <w:r>
        <w:t xml:space="preserve">Enligt</w:t>
      </w:r>
      <w:r>
        <w:t xml:space="preserve"> </w:t>
      </w:r>
      <w:r>
        <w:rPr>
          <w:b/>
          <w:bCs/>
        </w:rPr>
        <w:t xml:space="preserve">5 kap. 4 § miljöbalken</w:t>
      </w:r>
      <w:r>
        <w:t xml:space="preserve"> </w:t>
      </w:r>
      <w:r>
        <w:t xml:space="preserve">får en myndighet eller kommun inte tillåta en verksamhet eller åtgärd som ger upphov till en sådan ändring av vattenmiljön att miljökvalitetsnormer (MKN) för vatten inte kan följas, om inte de särskilda förutsättningar som anges i bestämmelsen är uppfyllda. Enligt</w:t>
      </w:r>
      <w:r>
        <w:t xml:space="preserve"> </w:t>
      </w:r>
      <w:r>
        <w:rPr>
          <w:b/>
          <w:bCs/>
        </w:rPr>
        <w:t xml:space="preserve">2 kap. 10 § PBL</w:t>
      </w:r>
      <w:r>
        <w:t xml:space="preserve"> </w:t>
      </w:r>
      <w:r>
        <w:t xml:space="preserve">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Planbeskrivningen redovisar inte konkret hur planen säkerställer att MKN för vatten kan följas eller att försämringsförbudet inte överträds. Detta är en självständig brist. Vi yrkar att en vattenförekomstanalys upprättas, att dagvattenhanteringen (se vidare punkt 5) och strandexploateringen prövas mot 5 kap. 4 § MB och 2 kap. 10 § PBL, samt att nödvändiga skyddsåtgärder regleras med bindande planbestämmelse innan planen antas.</w:t>
      </w:r>
    </w:p>
    <w:bookmarkEnd w:id="16"/>
    <w:bookmarkEnd w:id="17"/>
    <w:bookmarkStart w:id="21" w:name="b.-hälsa-säkerhet-och-risker-punkt-57"/>
    <w:p>
      <w:pPr>
        <w:pStyle w:val="Heading2"/>
      </w:pPr>
      <w:r>
        <w:t xml:space="preserve">B. Hälsa, säkerhet och risker (punkt 5–7)</w:t>
      </w:r>
    </w:p>
    <w:bookmarkStart w:id="18"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w:t>
      </w:r>
      <w:r>
        <w:t xml:space="preserve"> </w:t>
      </w:r>
      <w:r>
        <w:rPr>
          <w:b/>
          <w:bCs/>
        </w:rPr>
        <w:t xml:space="preserve">MÖD 2013:20 (mål P 2699-12, Burlöv)</w:t>
      </w:r>
      <w:r>
        <w:t xml:space="preserve"> </w:t>
      </w:r>
      <w:r>
        <w:t xml:space="preserve">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18"/>
    <w:bookmarkStart w:id="19"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19"/>
    <w:bookmarkStart w:id="20"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6"/>
        </w:numPr>
      </w:pPr>
      <w:r>
        <w:t xml:space="preserve">Uppdaterade trafikmätningar saknas.</w:t>
      </w:r>
    </w:p>
    <w:p>
      <w:pPr>
        <w:pStyle w:val="Compact"/>
        <w:numPr>
          <w:ilvl w:val="0"/>
          <w:numId w:val="1006"/>
        </w:numPr>
      </w:pPr>
      <w:r>
        <w:t xml:space="preserve">Beräkningen av ÅDT inkluderar inte etablerings- och byggtrafik under en upp till tioårig genomförandetid eller tillkommande nyttotrafik (post, paket, sophämtning, varuleveranser, hemtjänst).</w:t>
      </w:r>
    </w:p>
    <w:p>
      <w:pPr>
        <w:pStyle w:val="Compact"/>
        <w:numPr>
          <w:ilvl w:val="0"/>
          <w:numId w:val="1006"/>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6"/>
        </w:numPr>
      </w:pPr>
      <w:r>
        <w:t xml:space="preserve">Kollektivtrafik saknas, och planen löser inte heller den frågan trots att förbättrad kollektivtrafik åberopas som verkan av LIS-skälet (se även punkt 1).</w:t>
      </w:r>
    </w:p>
    <w:p>
      <w:pPr>
        <w:pStyle w:val="Compact"/>
        <w:numPr>
          <w:ilvl w:val="0"/>
          <w:numId w:val="1006"/>
        </w:numPr>
      </w:pPr>
      <w:r>
        <w:t xml:space="preserve">Pendelparkeringen vid Källarbacken är inte behandlad.</w:t>
      </w:r>
    </w:p>
    <w:p>
      <w:pPr>
        <w:pStyle w:val="Compact"/>
        <w:numPr>
          <w:ilvl w:val="0"/>
          <w:numId w:val="1006"/>
        </w:numPr>
      </w:pPr>
      <w:r>
        <w:rPr>
          <w:b/>
          <w:bCs/>
        </w:rPr>
        <w:t xml:space="preserve">Barnperspektivet</w:t>
      </w:r>
      <w:r>
        <w:t xml:space="preserve"> </w:t>
      </w:r>
      <w:r>
        <w:t xml:space="preserve">–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bookmarkEnd w:id="20"/>
    <w:bookmarkEnd w:id="21"/>
    <w:bookmarkStart w:id="24" w:name="X906fc7f821ef477cf4ca757ea9ad0f4d9b1108e"/>
    <w:p>
      <w:pPr>
        <w:pStyle w:val="Heading2"/>
      </w:pPr>
      <w:r>
        <w:t xml:space="preserve">C. Karaktär, anpassning och allmänt intresse (punkt 8–9)</w:t>
      </w:r>
    </w:p>
    <w:bookmarkStart w:id="22"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ett</w:t>
      </w:r>
      <w:r>
        <w:t xml:space="preserve"> </w:t>
      </w:r>
      <w:r>
        <w:rPr>
          <w:b/>
          <w:bCs/>
        </w:rPr>
        <w:t xml:space="preserve">självständigt krav</w:t>
      </w:r>
      <w:r>
        <w:t xml:space="preserve"> </w:t>
      </w:r>
      <w:r>
        <w:t xml:space="preserve">som gäller utöver, inte i stället för, antalsintervallet 30–50 bostäder. Detaljplanen tillåter radhus, kedjehus och parhus i upp till två våningar med en bebyggelsetäthet som svårligen kan kallas småskalig i den mening LIS-tillägget avser ("smälta in i omgivande natur"). Planen avviker därmed från översiktsplanens egna riktlinjer även om antalet bostäder ligger inom det angivna intervallet.</w:t>
      </w:r>
    </w:p>
    <w:p>
      <w:pPr>
        <w:pStyle w:val="BodyText"/>
      </w:pPr>
      <w:r>
        <w:t xml:space="preserve">Vi yrkar att bebyggelsen utformas så att LIS 06B SJÖDAL:s uttryckliga krav på småskalighet uppfylls – att radhus, kedjehus och parhus utgår till förmån för friliggande enbostadshus, att högsta tillåtna byggnadshöjd och exploateringsgrad begränsas, och att tomtstorlekar och placering anpassas till omgivande natur och bebyggelse.</w:t>
      </w:r>
    </w:p>
    <w:bookmarkEnd w:id="22"/>
    <w:bookmarkStart w:id="23"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07"/>
        </w:numPr>
      </w:pPr>
      <w:r>
        <w:t xml:space="preserve">Att passagevägen säkras genom planbestämmelse oavsett hur kvartersmark fördelas efter avstyckning.</w:t>
      </w:r>
    </w:p>
    <w:p>
      <w:pPr>
        <w:pStyle w:val="Compact"/>
        <w:numPr>
          <w:ilvl w:val="0"/>
          <w:numId w:val="1007"/>
        </w:numPr>
      </w:pPr>
      <w:r>
        <w:t xml:space="preserve">Att avsedd plats för vinterförvaring av bryggan finns med på plankartan.</w:t>
      </w:r>
    </w:p>
    <w:p>
      <w:pPr>
        <w:pStyle w:val="Compact"/>
        <w:numPr>
          <w:ilvl w:val="0"/>
          <w:numId w:val="1007"/>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3"/>
    <w:bookmarkEnd w:id="24"/>
    <w:bookmarkStart w:id="28" w:name="X8b5066fc3589ca0c0b4eaa656049a0f22d1731f"/>
    <w:p>
      <w:pPr>
        <w:pStyle w:val="Heading2"/>
      </w:pPr>
      <w:r>
        <w:t xml:space="preserve">D. Fastighetsrättsliga och formella frågor (punkt 10–12)</w:t>
      </w:r>
    </w:p>
    <w:bookmarkStart w:id="25"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ändrar andelstal och kostnadsfördelning för samtliga nuvarande delägare väsentligt. Anslutning prövas av Lantmäteriet enligt anläggningslagen 42 a och 43 §§.</w:t>
      </w:r>
    </w:p>
    <w:p>
      <w:pPr>
        <w:pStyle w:val="BodyText"/>
      </w:pPr>
      <w:r>
        <w:t xml:space="preserve">De skyddsregler för deltagande fastigheter som följer av 5 och 6 §§ AL kan enligt 6 a § AL undantas om detaljplanen innehåller en bestämmelse om gemensamhetsanläggning och Lantmäteriets beslut fattas under planens genomförandetid. Eftersom dessa skyddsregler då kan falla bort måste konsekvenserna för befintliga delägare i Lygnersvider ga:1 redovisas redan i planhandlingarna.</w:t>
      </w:r>
    </w:p>
    <w:p>
      <w:pPr>
        <w:pStyle w:val="BodyText"/>
      </w:pPr>
      <w:r>
        <w:t xml:space="preserve">Vi begär:</w:t>
      </w:r>
    </w:p>
    <w:p>
      <w:pPr>
        <w:pStyle w:val="Compact"/>
        <w:numPr>
          <w:ilvl w:val="0"/>
          <w:numId w:val="1008"/>
        </w:numPr>
      </w:pPr>
      <w:r>
        <w:t xml:space="preserve">Att samfällighetsföreningen för Lygnersvider ga:1 kallas som sakägare och bereds tillfälle att yttra sig.</w:t>
      </w:r>
    </w:p>
    <w:p>
      <w:pPr>
        <w:pStyle w:val="Compact"/>
        <w:numPr>
          <w:ilvl w:val="0"/>
          <w:numId w:val="1008"/>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08"/>
        </w:numPr>
      </w:pPr>
      <w:r>
        <w:t xml:space="preserve">Att planbeskrivningen omformuleras så att den korrekt återger att frågan om servitutens fortsatta giltighet och om GA-anslutning prövas av Lantmäteriet, inte i planprocessen.</w:t>
      </w:r>
    </w:p>
    <w:bookmarkEnd w:id="25"/>
    <w:bookmarkStart w:id="26"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09"/>
        </w:numPr>
      </w:pPr>
      <w:r>
        <w:t xml:space="preserve">1463-1017.G (vägrätt, förmån Ubbhult 2:11)</w:t>
      </w:r>
    </w:p>
    <w:p>
      <w:pPr>
        <w:pStyle w:val="Compact"/>
        <w:numPr>
          <w:ilvl w:val="0"/>
          <w:numId w:val="1009"/>
        </w:numPr>
      </w:pPr>
      <w:r>
        <w:t xml:space="preserve">15-SÄT-914.A (vägrätt, förmån Ubbhult 2:8 och 2:9)</w:t>
      </w:r>
    </w:p>
    <w:p>
      <w:pPr>
        <w:pStyle w:val="Compact"/>
        <w:numPr>
          <w:ilvl w:val="0"/>
          <w:numId w:val="1009"/>
        </w:numPr>
      </w:pPr>
      <w:r>
        <w:t xml:space="preserve">15-SÄT-914.B (bad- och båtplats, förmån Ubbhult 2:9, belastar 2:2 och 2:11) – jfr punkt 9</w:t>
      </w:r>
    </w:p>
    <w:p>
      <w:pPr>
        <w:pStyle w:val="Compact"/>
        <w:numPr>
          <w:ilvl w:val="0"/>
          <w:numId w:val="1009"/>
        </w:numPr>
      </w:pPr>
      <w:r>
        <w:t xml:space="preserve">15-SÄT-603.C (vägrätt, förmån Ubbhult 2:4)</w:t>
      </w:r>
    </w:p>
    <w:p>
      <w:pPr>
        <w:pStyle w:val="Compact"/>
        <w:numPr>
          <w:ilvl w:val="0"/>
          <w:numId w:val="1009"/>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26"/>
    <w:bookmarkStart w:id="27" w:name="formella-brister-i-samrådsförfarandet"/>
    <w:p>
      <w:pPr>
        <w:pStyle w:val="Heading3"/>
      </w:pPr>
      <w:r>
        <w:t xml:space="preserve">12. Formella brister i samrådsförfarandet</w:t>
      </w:r>
    </w:p>
    <w:p>
      <w:pPr>
        <w:pStyle w:val="Compact"/>
        <w:numPr>
          <w:ilvl w:val="0"/>
          <w:numId w:val="1010"/>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0"/>
        </w:numPr>
      </w:pPr>
      <w:r>
        <w:rPr>
          <w:b/>
          <w:bCs/>
        </w:rPr>
        <w:t xml:space="preserve">Oklarhet om planhandlingarnas slutgiltiga form.</w:t>
      </w:r>
      <w:r>
        <w:t xml:space="preserve"> </w:t>
      </w:r>
      <w:r>
        <w:t xml:space="preserve">Planbeskrivningen anger "Plankarta 2026-02-16", medan den publicerade plankartan är daterad 2026-04-29. I</w:t>
      </w:r>
      <w:r>
        <w:t xml:space="preserve"> </w:t>
      </w:r>
      <w:r>
        <w:rPr>
          <w:b/>
          <w:bCs/>
        </w:rPr>
        <w:t xml:space="preserve">MÖD 2022:5 (mål P 7791-21)</w:t>
      </w:r>
      <w:r>
        <w:t xml:space="preserve"> </w:t>
      </w:r>
      <w:r>
        <w:t xml:space="preserve">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0"/>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0"/>
        </w:numPr>
      </w:pPr>
      <w:r>
        <w:rPr>
          <w:b/>
          <w:bCs/>
        </w:rPr>
        <w:t xml:space="preserve">Felaktigt val av planförfarande.</w:t>
      </w:r>
      <w:r>
        <w:t xml:space="preserve"> </w:t>
      </w:r>
      <w:r>
        <w:t xml:space="preserve">Kommunen hanterar planen med standardförfarande. Enligt</w:t>
      </w:r>
      <w:r>
        <w:t xml:space="preserve"> </w:t>
      </w:r>
      <w:r>
        <w:rPr>
          <w:b/>
          <w:bCs/>
        </w:rPr>
        <w:t xml:space="preserve">5 kap. 7 § första stycket PBL</w:t>
      </w:r>
      <w:r>
        <w:t xml:space="preserve"> </w:t>
      </w:r>
      <w:r>
        <w:t xml:space="preserve">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p>
      <w:pPr>
        <w:pStyle w:val="Compact"/>
        <w:numPr>
          <w:ilvl w:val="0"/>
          <w:numId w:val="1010"/>
        </w:numPr>
      </w:pPr>
      <w:r>
        <w:rPr>
          <w:b/>
          <w:bCs/>
        </w:rPr>
        <w:t xml:space="preserve">Sakägarinformation.</w:t>
      </w:r>
      <w:r>
        <w:t xml:space="preserve"> </w:t>
      </w:r>
      <w:r>
        <w:t xml:space="preserve">Vi begär att samrådsmöte hålls fysiskt med kommunens handläggare och exploatör närvarande, alternativt att samrådstiden förlängs så att de oklarheter som denna skrivelse pekar ut kan ventileras innan granskning.</w:t>
      </w:r>
    </w:p>
    <w:bookmarkEnd w:id="27"/>
    <w:bookmarkEnd w:id="28"/>
    <w:bookmarkStart w:id="33"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29" w:name="materiella-miljörättsliga-grunder"/>
    <w:p>
      <w:pPr>
        <w:pStyle w:val="Heading4"/>
      </w:pPr>
      <w:r>
        <w:t xml:space="preserve">Materiella miljörättsliga grunder</w:t>
      </w:r>
    </w:p>
    <w:p>
      <w:pPr>
        <w:pStyle w:val="Compact"/>
        <w:numPr>
          <w:ilvl w:val="0"/>
          <w:numId w:val="1011"/>
        </w:numPr>
      </w:pPr>
      <w:r>
        <w:t xml:space="preserve">Otillräckligt motiverat strandskyddsupphävande (4 kap. 17 § PBL och 7 kap. 18 e, 18 g, 18 i §§ MB, motsvarande äldre 18 c, 18 d, 18 f §§) – punkt 1.</w:t>
      </w:r>
    </w:p>
    <w:p>
      <w:pPr>
        <w:pStyle w:val="Compact"/>
        <w:numPr>
          <w:ilvl w:val="0"/>
          <w:numId w:val="1011"/>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1"/>
        </w:numPr>
      </w:pPr>
      <w:r>
        <w:t xml:space="preserve">Bristfällig undersökning av betydande miljöpåverkan (6 kap. 5–8 §§ MB) – punkt 3.</w:t>
      </w:r>
    </w:p>
    <w:p>
      <w:pPr>
        <w:pStyle w:val="Compact"/>
        <w:numPr>
          <w:ilvl w:val="0"/>
          <w:numId w:val="1011"/>
        </w:numPr>
      </w:pPr>
      <w:r>
        <w:t xml:space="preserve">Bristande beaktande av miljökvalitetsnormer för vatten (5 kap. 4 § MB, 2 kap. 10 § PBL, ramdirektivet 2000/60/EG) – punkt 4.</w:t>
      </w:r>
    </w:p>
    <w:bookmarkEnd w:id="29"/>
    <w:bookmarkStart w:id="30" w:name="hälsa-säkerhet-och-risker"/>
    <w:p>
      <w:pPr>
        <w:pStyle w:val="Heading4"/>
      </w:pPr>
      <w:r>
        <w:t xml:space="preserve">Hälsa, säkerhet och risker</w:t>
      </w:r>
    </w:p>
    <w:p>
      <w:pPr>
        <w:pStyle w:val="Compact"/>
        <w:numPr>
          <w:ilvl w:val="0"/>
          <w:numId w:val="1012"/>
        </w:numPr>
      </w:pPr>
      <w:r>
        <w:t xml:space="preserve">Ej säkerställd dagvatten-/skyfallshantering (2 kap. 5 § p. 1, 2 och 5 PBL) – punkt 5.</w:t>
      </w:r>
    </w:p>
    <w:p>
      <w:pPr>
        <w:pStyle w:val="Compact"/>
        <w:numPr>
          <w:ilvl w:val="0"/>
          <w:numId w:val="1012"/>
        </w:numPr>
      </w:pPr>
      <w:r>
        <w:t xml:space="preserve">Ej säkerställd hantering av ras- och skredrisk (2 kap. 5 § p. 1 PBL) – punkt 6.</w:t>
      </w:r>
    </w:p>
    <w:p>
      <w:pPr>
        <w:pStyle w:val="Compact"/>
        <w:numPr>
          <w:ilvl w:val="0"/>
          <w:numId w:val="1012"/>
        </w:numPr>
      </w:pPr>
      <w:r>
        <w:t xml:space="preserve">Otillräcklig trafikutredning (2 kap. 5 § p. 1 och 3 samt 2 kap. 6 § p. 2 och 6 PBL) – punkt 7.</w:t>
      </w:r>
    </w:p>
    <w:bookmarkEnd w:id="30"/>
    <w:bookmarkStart w:id="31" w:name="karaktär-anpassning-och-allmänt-intresse"/>
    <w:p>
      <w:pPr>
        <w:pStyle w:val="Heading4"/>
      </w:pPr>
      <w:r>
        <w:t xml:space="preserve">Karaktär, anpassning och allmänt intresse</w:t>
      </w:r>
    </w:p>
    <w:p>
      <w:pPr>
        <w:pStyle w:val="Compact"/>
        <w:numPr>
          <w:ilvl w:val="0"/>
          <w:numId w:val="1013"/>
        </w:numPr>
      </w:pPr>
      <w:r>
        <w:t xml:space="preserve">Bristande anpassning till områdets karaktär och avvikelse från LIS-tilläggets krav på småskalighet (2 kap. 6 § PBL) – punkt 8.</w:t>
      </w:r>
    </w:p>
    <w:p>
      <w:pPr>
        <w:pStyle w:val="Compact"/>
        <w:numPr>
          <w:ilvl w:val="0"/>
          <w:numId w:val="1013"/>
        </w:numPr>
      </w:pPr>
      <w:r>
        <w:t xml:space="preserve">Otydlig hantering av badplats och officialservitut 15-SÄT-914 – punkt 9.</w:t>
      </w:r>
    </w:p>
    <w:bookmarkEnd w:id="31"/>
    <w:bookmarkStart w:id="32" w:name="fastighetsrättsliga-och-formella-frågor"/>
    <w:p>
      <w:pPr>
        <w:pStyle w:val="Heading4"/>
      </w:pPr>
      <w:r>
        <w:t xml:space="preserve">Fastighetsrättsliga och formella frågor</w:t>
      </w:r>
    </w:p>
    <w:p>
      <w:pPr>
        <w:pStyle w:val="Compact"/>
        <w:numPr>
          <w:ilvl w:val="0"/>
          <w:numId w:val="1014"/>
        </w:numPr>
      </w:pPr>
      <w:r>
        <w:t xml:space="preserve">Otydlig hantering av Lygnersvider ga:1 och föregripande av Lantmäteriets prövning – punkt 10.</w:t>
      </w:r>
    </w:p>
    <w:p>
      <w:pPr>
        <w:pStyle w:val="Compact"/>
        <w:numPr>
          <w:ilvl w:val="0"/>
          <w:numId w:val="1014"/>
        </w:numPr>
      </w:pPr>
      <w:r>
        <w:t xml:space="preserve">Ofullständig planbeskrivning (4 kap. 33 § PBL) – punkt 11.</w:t>
      </w:r>
    </w:p>
    <w:p>
      <w:pPr>
        <w:pStyle w:val="Compact"/>
        <w:numPr>
          <w:ilvl w:val="0"/>
          <w:numId w:val="1014"/>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Förteckning över undertecknande fastighetsägare med fastighetsbeteckningar (samtliga räknas som enskilda sakägare enligt 5 kap. 11 § PBL).</w:t>
      </w:r>
      <w:r>
        <w:br/>
      </w:r>
      <w:r>
        <w:t xml:space="preserve">Bilaga 2 – Hänvisning till officialservitut 15-SÄT-914 och förrättning 1463-1017 (kan tillhandahållas vid begäran).</w:t>
      </w:r>
      <w:r>
        <w:br/>
      </w:r>
      <w:r>
        <w:t xml:space="preserve">Bilaga 3 – Skärmdump av kommunens projektsida 2026-05-18 (visande rubriken "HÅKANKILA 1:19").</w:t>
      </w:r>
      <w:r>
        <w:br/>
      </w:r>
      <w:r>
        <w:t xml:space="preserve">Bilaga 4 – Länsstyrelsens granskningsyttrande över FÖP Mark Nordväst, 2023-01-31, dnr 401-50227-2022 (åberopas i flera avsnitt ovan).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2026-05-20T06:01:20Z</dcterms:created>
  <dcterms:modified xsi:type="dcterms:W3CDTF">2026-05-20T06:01:20Z</dcterms:modified>
</cp:coreProperties>
</file>

<file path=docProps/custom.xml><?xml version="1.0" encoding="utf-8"?>
<Properties xmlns="http://schemas.openxmlformats.org/officeDocument/2006/custom-properties" xmlns:vt="http://schemas.openxmlformats.org/officeDocument/2006/docPropsVTypes"/>
</file>