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B77" w:rsidRDefault="00DC6B77" w:rsidP="00DC6B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b/>
          <w:bCs/>
          <w:color w:val="000000"/>
          <w:sz w:val="22"/>
          <w:szCs w:val="22"/>
        </w:rPr>
        <w:t xml:space="preserve">Análisis de Gestión del Riesgo </w:t>
      </w:r>
      <w:r>
        <w:rPr>
          <w:rStyle w:val="eop"/>
          <w:color w:val="000000"/>
          <w:sz w:val="22"/>
          <w:szCs w:val="22"/>
          <w:lang w:val="es-ES"/>
        </w:rPr>
        <w:t> </w:t>
      </w:r>
    </w:p>
    <w:p w:rsidR="00DC6B77" w:rsidRDefault="00DC6B77" w:rsidP="00DC6B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b/>
          <w:bCs/>
          <w:color w:val="000000"/>
          <w:sz w:val="22"/>
          <w:szCs w:val="22"/>
        </w:rPr>
        <w:t>Interacción con AWS</w:t>
      </w:r>
      <w:r>
        <w:rPr>
          <w:rStyle w:val="normaltextrun"/>
          <w:b/>
          <w:bCs/>
          <w:color w:val="000000"/>
          <w:sz w:val="22"/>
          <w:szCs w:val="22"/>
        </w:rPr>
        <w:t> - Basado en norma ISO 31000</w:t>
      </w:r>
      <w:r>
        <w:rPr>
          <w:rStyle w:val="eop"/>
          <w:color w:val="000000"/>
          <w:sz w:val="22"/>
          <w:szCs w:val="22"/>
          <w:lang w:val="es-ES"/>
        </w:rPr>
        <w:t> </w:t>
      </w:r>
    </w:p>
    <w:p w:rsidR="00DC6B77" w:rsidRDefault="00DC6B77" w:rsidP="00D37CF9">
      <w:pPr>
        <w:rPr>
          <w:rFonts w:ascii="Times New Roman" w:hAnsi="Times New Roman" w:cs="Times New Roman"/>
        </w:rPr>
      </w:pPr>
    </w:p>
    <w:p w:rsidR="00DC6B77" w:rsidRDefault="00D37CF9" w:rsidP="00D37CF9">
      <w:p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La interacción del dispositivo </w:t>
      </w:r>
      <w:proofErr w:type="spellStart"/>
      <w:r w:rsidRPr="00DC6B77">
        <w:rPr>
          <w:rFonts w:ascii="Times New Roman" w:hAnsi="Times New Roman" w:cs="Times New Roman"/>
        </w:rPr>
        <w:t>IoT</w:t>
      </w:r>
      <w:proofErr w:type="spellEnd"/>
      <w:r w:rsidRPr="00DC6B77">
        <w:rPr>
          <w:rFonts w:ascii="Times New Roman" w:hAnsi="Times New Roman" w:cs="Times New Roman"/>
        </w:rPr>
        <w:t xml:space="preserve"> con AWS mediante certificados, </w:t>
      </w:r>
      <w:r w:rsidR="00DC6B77">
        <w:rPr>
          <w:rFonts w:ascii="Times New Roman" w:hAnsi="Times New Roman" w:cs="Times New Roman"/>
        </w:rPr>
        <w:t xml:space="preserve">almacenamiento en </w:t>
      </w:r>
      <w:proofErr w:type="spellStart"/>
      <w:r w:rsidR="00DC6B77">
        <w:rPr>
          <w:rFonts w:ascii="Times New Roman" w:hAnsi="Times New Roman" w:cs="Times New Roman"/>
        </w:rPr>
        <w:t>bucket</w:t>
      </w:r>
      <w:proofErr w:type="spellEnd"/>
      <w:r w:rsidR="00DC6B77">
        <w:rPr>
          <w:rFonts w:ascii="Times New Roman" w:hAnsi="Times New Roman" w:cs="Times New Roman"/>
        </w:rPr>
        <w:t xml:space="preserve"> </w:t>
      </w:r>
      <w:r w:rsidRPr="00DC6B77">
        <w:rPr>
          <w:rFonts w:ascii="Times New Roman" w:hAnsi="Times New Roman" w:cs="Times New Roman"/>
        </w:rPr>
        <w:t xml:space="preserve">S3 y </w:t>
      </w:r>
      <w:r w:rsidR="00DC6B77">
        <w:rPr>
          <w:rFonts w:ascii="Times New Roman" w:hAnsi="Times New Roman" w:cs="Times New Roman"/>
        </w:rPr>
        <w:t xml:space="preserve">la función </w:t>
      </w:r>
      <w:r w:rsidRPr="00DC6B77">
        <w:rPr>
          <w:rFonts w:ascii="Times New Roman" w:hAnsi="Times New Roman" w:cs="Times New Roman"/>
        </w:rPr>
        <w:t>Lambda para la publicación y suscripción de datos</w:t>
      </w:r>
      <w:r w:rsidR="00DC6B77">
        <w:rPr>
          <w:rFonts w:ascii="Times New Roman" w:hAnsi="Times New Roman" w:cs="Times New Roman"/>
        </w:rPr>
        <w:t>,</w:t>
      </w:r>
      <w:r w:rsidRPr="00DC6B77">
        <w:rPr>
          <w:rFonts w:ascii="Times New Roman" w:hAnsi="Times New Roman" w:cs="Times New Roman"/>
        </w:rPr>
        <w:t xml:space="preserve"> introduce varios riesgos específicos. </w:t>
      </w:r>
    </w:p>
    <w:p w:rsidR="00D37CF9" w:rsidRPr="00DC6B77" w:rsidRDefault="00D37CF9" w:rsidP="00D37CF9">
      <w:p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Aplicando la norma ISO 31000, se pueden identificar y gestionar estos riesgos para asegurar la seguridad y fiabilidad de la transmisión y procesamiento de datos. A continuación, </w:t>
      </w:r>
      <w:r w:rsidR="00DC6B77">
        <w:rPr>
          <w:rFonts w:ascii="Times New Roman" w:hAnsi="Times New Roman" w:cs="Times New Roman"/>
        </w:rPr>
        <w:t>presentamos la</w:t>
      </w:r>
      <w:r w:rsidRPr="00DC6B77">
        <w:rPr>
          <w:rFonts w:ascii="Times New Roman" w:hAnsi="Times New Roman" w:cs="Times New Roman"/>
        </w:rPr>
        <w:t xml:space="preserve"> matriz de riesgos enfocada en la interacción del dispositivo </w:t>
      </w:r>
      <w:proofErr w:type="spellStart"/>
      <w:r w:rsidRPr="00DC6B77">
        <w:rPr>
          <w:rFonts w:ascii="Times New Roman" w:hAnsi="Times New Roman" w:cs="Times New Roman"/>
        </w:rPr>
        <w:t>IoT</w:t>
      </w:r>
      <w:proofErr w:type="spellEnd"/>
      <w:r w:rsidRPr="00DC6B77">
        <w:rPr>
          <w:rFonts w:ascii="Times New Roman" w:hAnsi="Times New Roman" w:cs="Times New Roman"/>
        </w:rPr>
        <w:t xml:space="preserve"> con AWS.</w:t>
      </w:r>
    </w:p>
    <w:p w:rsidR="00DC6B77" w:rsidRDefault="00DC6B77" w:rsidP="00D37CF9">
      <w:pPr>
        <w:rPr>
          <w:rFonts w:ascii="Times New Roman" w:hAnsi="Times New Roman" w:cs="Times New Roman"/>
          <w:b/>
        </w:rPr>
      </w:pPr>
    </w:p>
    <w:p w:rsidR="007B184B" w:rsidRPr="00DC6B77" w:rsidRDefault="00D37CF9" w:rsidP="00DC6B77">
      <w:pPr>
        <w:jc w:val="center"/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Matriz de Riesgos para la Interacción del Dispositivo </w:t>
      </w:r>
      <w:proofErr w:type="spellStart"/>
      <w:r w:rsidRPr="00DC6B77">
        <w:rPr>
          <w:rFonts w:ascii="Times New Roman" w:hAnsi="Times New Roman" w:cs="Times New Roman"/>
          <w:b/>
        </w:rPr>
        <w:t>IoT</w:t>
      </w:r>
      <w:proofErr w:type="spellEnd"/>
      <w:r w:rsidRPr="00DC6B77">
        <w:rPr>
          <w:rFonts w:ascii="Times New Roman" w:hAnsi="Times New Roman" w:cs="Times New Roman"/>
          <w:b/>
        </w:rPr>
        <w:t xml:space="preserve"> con AWS</w:t>
      </w:r>
    </w:p>
    <w:p w:rsidR="00D37CF9" w:rsidRPr="00DC6B77" w:rsidRDefault="00D37CF9" w:rsidP="00D37CF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"/>
        <w:gridCol w:w="2258"/>
        <w:gridCol w:w="1483"/>
        <w:gridCol w:w="1417"/>
        <w:gridCol w:w="1276"/>
        <w:gridCol w:w="2267"/>
      </w:tblGrid>
      <w:tr w:rsidR="00D37CF9" w:rsidRPr="00DC6B77" w:rsidTr="00DC6B77">
        <w:trPr>
          <w:trHeight w:val="740"/>
        </w:trPr>
        <w:tc>
          <w:tcPr>
            <w:tcW w:w="649" w:type="dxa"/>
            <w:vAlign w:val="center"/>
          </w:tcPr>
          <w:p w:rsidR="00D37CF9" w:rsidRPr="00DC6B77" w:rsidRDefault="00D37CF9" w:rsidP="00DC6B77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ID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C6B77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Descripción del Riesgo</w:t>
            </w:r>
          </w:p>
        </w:tc>
        <w:tc>
          <w:tcPr>
            <w:tcW w:w="1483" w:type="dxa"/>
            <w:vAlign w:val="center"/>
          </w:tcPr>
          <w:p w:rsidR="00D37CF9" w:rsidRPr="00DC6B77" w:rsidRDefault="00D37CF9" w:rsidP="00DC6B77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Impacto</w:t>
            </w:r>
          </w:p>
        </w:tc>
        <w:tc>
          <w:tcPr>
            <w:tcW w:w="1417" w:type="dxa"/>
            <w:vAlign w:val="center"/>
          </w:tcPr>
          <w:p w:rsidR="00D37CF9" w:rsidRPr="00DC6B77" w:rsidRDefault="00D37CF9" w:rsidP="00DC6B77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Probabilidad</w:t>
            </w:r>
          </w:p>
        </w:tc>
        <w:tc>
          <w:tcPr>
            <w:tcW w:w="1276" w:type="dxa"/>
            <w:vAlign w:val="center"/>
          </w:tcPr>
          <w:p w:rsidR="00D37CF9" w:rsidRPr="00DC6B77" w:rsidRDefault="00D37CF9" w:rsidP="00DC6B77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Nivel de Riesgo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C6B77">
            <w:pPr>
              <w:jc w:val="center"/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b/>
                <w:bCs/>
                <w:color w:val="0D0D0D"/>
                <w:sz w:val="21"/>
                <w:szCs w:val="21"/>
              </w:rPr>
              <w:t>Estrategia de Mitigación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IA1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Compromiso de Certificados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Implementar políticas de rotación de certificados. Utilizar certificados con fechas de expiración cortas.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IA2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Fuga de Datos Sensibles a través de S3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Configurar políticas de acceso y permisos estrictos en S3. Utilizar cifrado para datos en reposo y en tránsito.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IA3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Fallo en la Ejecución de Funciones Lambda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Implementar pruebas exhaustivas y monitoreo continuo de funciones Lambda. Contar con planes de contingencia.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IA4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Conexión Inestable entre el Dispositivo </w:t>
            </w:r>
            <w:proofErr w:type="spellStart"/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IoT</w:t>
            </w:r>
            <w:proofErr w:type="spellEnd"/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 y AWS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Implementar mecanismos de reconexión automática y redundancia en las conexiones.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IA5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Exposición a Ataques de Intermediarios (MITM)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Utilizar cifrado fuerte para todas las comunicaciones. </w:t>
            </w:r>
            <w:r w:rsidR="00A833A4" w:rsidRPr="00DC6B77">
              <w:rPr>
                <w:rFonts w:ascii="Times New Roman" w:hAnsi="Times New Roman" w:cs="Times New Roman"/>
              </w:rPr>
              <w:t>Configurar VPN</w:t>
            </w:r>
            <w:r w:rsidR="00A833A4">
              <w:rPr>
                <w:rFonts w:ascii="Times New Roman" w:hAnsi="Times New Roman" w:cs="Times New Roman"/>
              </w:rPr>
              <w:t xml:space="preserve"> de conexión</w:t>
            </w: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IA6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Fallos de Seguridad en la Publicación/Suscripción de Datos MQTT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Asegurar la autenticación y autorización para todos los clientes MQTT. Utilizar TLS para las conexiones MQTT.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lastRenderedPageBreak/>
              <w:t>IA7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Pérdida de Integridad de los Datos Transmitidos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Implementar mecanismos de verificación de integridad, como firmas digitales o </w:t>
            </w:r>
            <w:proofErr w:type="spellStart"/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checksums</w:t>
            </w:r>
            <w:proofErr w:type="spellEnd"/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IA8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Configuración Incorrecta de Políticas IAM en AWS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Revisar y auditar regularmente las políticas IAM. Implementar el principio de privilegio mínimo.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IA9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Escalabilidad y Rendimiento de las Funciones Lambda</w:t>
            </w:r>
          </w:p>
        </w:tc>
        <w:tc>
          <w:tcPr>
            <w:tcW w:w="1483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Medio</w:t>
            </w:r>
          </w:p>
        </w:tc>
        <w:tc>
          <w:tcPr>
            <w:tcW w:w="1417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Monitorear el rendimiento y ajustar la configuración de escalado automático. Optimizar el código de las funciones.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IA10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Falta de Monitoreo y Alertas en Tiempo Real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 xml:space="preserve">Implementar servicios de monitoreo y alertas en tiempo real, como </w:t>
            </w:r>
            <w:proofErr w:type="spellStart"/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CloudWatch</w:t>
            </w:r>
            <w:proofErr w:type="spellEnd"/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. Configurar notificaciones de eventos.</w:t>
            </w:r>
          </w:p>
        </w:tc>
      </w:tr>
      <w:tr w:rsidR="00D37CF9" w:rsidRPr="00DC6B77" w:rsidTr="00DC6B77">
        <w:tc>
          <w:tcPr>
            <w:tcW w:w="649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IA11</w:t>
            </w:r>
          </w:p>
        </w:tc>
        <w:tc>
          <w:tcPr>
            <w:tcW w:w="2258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Fallos en la Sincronización de Datos entre el Dispositivo y AWS</w:t>
            </w:r>
          </w:p>
        </w:tc>
        <w:tc>
          <w:tcPr>
            <w:tcW w:w="1483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1417" w:type="dxa"/>
            <w:shd w:val="clear" w:color="auto" w:fill="FFCCCC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Media</w:t>
            </w:r>
          </w:p>
        </w:tc>
        <w:tc>
          <w:tcPr>
            <w:tcW w:w="1276" w:type="dxa"/>
            <w:shd w:val="clear" w:color="auto" w:fill="FF7C80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Alto</w:t>
            </w:r>
          </w:p>
        </w:tc>
        <w:tc>
          <w:tcPr>
            <w:tcW w:w="2267" w:type="dxa"/>
            <w:vAlign w:val="center"/>
          </w:tcPr>
          <w:p w:rsidR="00D37CF9" w:rsidRPr="00DC6B77" w:rsidRDefault="00D37CF9" w:rsidP="00D37CF9">
            <w:pPr>
              <w:jc w:val="center"/>
              <w:rPr>
                <w:rFonts w:ascii="Times New Roman" w:hAnsi="Times New Roman" w:cs="Times New Roman"/>
                <w:color w:val="0D0D0D"/>
                <w:sz w:val="21"/>
                <w:szCs w:val="21"/>
              </w:rPr>
            </w:pPr>
            <w:r w:rsidRPr="00DC6B77">
              <w:rPr>
                <w:rFonts w:ascii="Times New Roman" w:hAnsi="Times New Roman" w:cs="Times New Roman"/>
                <w:color w:val="0D0D0D"/>
                <w:sz w:val="21"/>
                <w:szCs w:val="21"/>
              </w:rPr>
              <w:t>Utilizar mecanismos de sincronización robustos y realizar pruebas de consistencia de datos periódicamente.</w:t>
            </w:r>
          </w:p>
        </w:tc>
      </w:tr>
    </w:tbl>
    <w:p w:rsidR="00D37CF9" w:rsidRPr="00DC6B77" w:rsidRDefault="00D37CF9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Descripción Detallada de Estrategias de Mitigación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IA1: Compromiso de Certificados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Implementar políticas de rotación de certificados. </w:t>
      </w:r>
    </w:p>
    <w:p w:rsidR="00D37CF9" w:rsidRPr="00DC6B77" w:rsidRDefault="00D37CF9" w:rsidP="000B11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Utilizar certificados con fechas de expiración cortas.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Rotar los certificados regularmente y revocar los comprometidos.</w:t>
      </w:r>
    </w:p>
    <w:p w:rsidR="00D37CF9" w:rsidRPr="00DC6B77" w:rsidRDefault="00D37CF9" w:rsidP="000B11F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Configurar alertas para certificados próximos a expirar.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IA2: Fuga de Datos Sensibles a través de </w:t>
      </w:r>
      <w:proofErr w:type="spellStart"/>
      <w:r w:rsidR="00A833A4">
        <w:rPr>
          <w:rFonts w:ascii="Times New Roman" w:hAnsi="Times New Roman" w:cs="Times New Roman"/>
          <w:b/>
        </w:rPr>
        <w:t>Bucket</w:t>
      </w:r>
      <w:proofErr w:type="spellEnd"/>
      <w:r w:rsidR="00A833A4">
        <w:rPr>
          <w:rFonts w:ascii="Times New Roman" w:hAnsi="Times New Roman" w:cs="Times New Roman"/>
          <w:b/>
        </w:rPr>
        <w:t xml:space="preserve"> </w:t>
      </w:r>
      <w:r w:rsidRPr="00DC6B77">
        <w:rPr>
          <w:rFonts w:ascii="Times New Roman" w:hAnsi="Times New Roman" w:cs="Times New Roman"/>
          <w:b/>
        </w:rPr>
        <w:t>S3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Configurar políticas de acceso y permisos estrictos en </w:t>
      </w:r>
      <w:proofErr w:type="spellStart"/>
      <w:r w:rsidR="00A833A4">
        <w:rPr>
          <w:rFonts w:ascii="Times New Roman" w:hAnsi="Times New Roman" w:cs="Times New Roman"/>
        </w:rPr>
        <w:t>Bucket</w:t>
      </w:r>
      <w:proofErr w:type="spellEnd"/>
      <w:r w:rsidR="00A833A4">
        <w:rPr>
          <w:rFonts w:ascii="Times New Roman" w:hAnsi="Times New Roman" w:cs="Times New Roman"/>
        </w:rPr>
        <w:t xml:space="preserve"> </w:t>
      </w:r>
      <w:r w:rsidRPr="00DC6B77">
        <w:rPr>
          <w:rFonts w:ascii="Times New Roman" w:hAnsi="Times New Roman" w:cs="Times New Roman"/>
        </w:rPr>
        <w:t xml:space="preserve">S3. </w:t>
      </w:r>
    </w:p>
    <w:p w:rsidR="00D37CF9" w:rsidRPr="00DC6B77" w:rsidRDefault="00D37CF9" w:rsidP="000B11F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lastRenderedPageBreak/>
        <w:t>Utilizar cifrado para datos en reposo y en tránsito.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Revisar y aplicar políticas de IAM estrictas para accesos a </w:t>
      </w:r>
      <w:proofErr w:type="spellStart"/>
      <w:r w:rsidR="00A833A4">
        <w:rPr>
          <w:rFonts w:ascii="Times New Roman" w:hAnsi="Times New Roman" w:cs="Times New Roman"/>
        </w:rPr>
        <w:t>Bucket</w:t>
      </w:r>
      <w:proofErr w:type="spellEnd"/>
      <w:r w:rsidR="00A833A4">
        <w:rPr>
          <w:rFonts w:ascii="Times New Roman" w:hAnsi="Times New Roman" w:cs="Times New Roman"/>
        </w:rPr>
        <w:t xml:space="preserve"> </w:t>
      </w:r>
      <w:r w:rsidRPr="00DC6B77">
        <w:rPr>
          <w:rFonts w:ascii="Times New Roman" w:hAnsi="Times New Roman" w:cs="Times New Roman"/>
        </w:rPr>
        <w:t>S3.</w:t>
      </w:r>
    </w:p>
    <w:p w:rsidR="00D37CF9" w:rsidRPr="00DC6B77" w:rsidRDefault="00D37CF9" w:rsidP="000B11F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Configurar cifrado automático para todos los datos almacenados en </w:t>
      </w:r>
      <w:proofErr w:type="spellStart"/>
      <w:r w:rsidR="00A833A4">
        <w:rPr>
          <w:rFonts w:ascii="Times New Roman" w:hAnsi="Times New Roman" w:cs="Times New Roman"/>
        </w:rPr>
        <w:t>Bucket</w:t>
      </w:r>
      <w:proofErr w:type="spellEnd"/>
      <w:r w:rsidR="00A833A4">
        <w:rPr>
          <w:rFonts w:ascii="Times New Roman" w:hAnsi="Times New Roman" w:cs="Times New Roman"/>
        </w:rPr>
        <w:t xml:space="preserve"> </w:t>
      </w:r>
      <w:r w:rsidRPr="00DC6B77">
        <w:rPr>
          <w:rFonts w:ascii="Times New Roman" w:hAnsi="Times New Roman" w:cs="Times New Roman"/>
        </w:rPr>
        <w:t>S3.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IA3: Fallo en la Ejecución de Funciones Lambda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Implementar pruebas exhaustivas y monitoreo continuo de funciones Lambda. </w:t>
      </w:r>
    </w:p>
    <w:p w:rsidR="00D37CF9" w:rsidRPr="00DC6B77" w:rsidRDefault="00D37CF9" w:rsidP="000B11F7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Contar con planes de contingencia.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Desarrollar y ejecutar pruebas unitarias y de integración para las funciones Lambda.</w:t>
      </w:r>
    </w:p>
    <w:p w:rsidR="00D37CF9" w:rsidRPr="00DC6B77" w:rsidRDefault="00D37CF9" w:rsidP="000B11F7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Monitorear la ejecución de Lambda con </w:t>
      </w:r>
      <w:proofErr w:type="spellStart"/>
      <w:r w:rsidRPr="00DC6B77">
        <w:rPr>
          <w:rFonts w:ascii="Times New Roman" w:hAnsi="Times New Roman" w:cs="Times New Roman"/>
        </w:rPr>
        <w:t>CloudWatch</w:t>
      </w:r>
      <w:proofErr w:type="spellEnd"/>
      <w:r w:rsidRPr="00DC6B77">
        <w:rPr>
          <w:rFonts w:ascii="Times New Roman" w:hAnsi="Times New Roman" w:cs="Times New Roman"/>
        </w:rPr>
        <w:t xml:space="preserve"> y configurar alertas para fallos.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IA4: Conexión Inestable entre el Dispositivo </w:t>
      </w:r>
      <w:proofErr w:type="spellStart"/>
      <w:r w:rsidRPr="00DC6B77">
        <w:rPr>
          <w:rFonts w:ascii="Times New Roman" w:hAnsi="Times New Roman" w:cs="Times New Roman"/>
          <w:b/>
        </w:rPr>
        <w:t>IoT</w:t>
      </w:r>
      <w:proofErr w:type="spellEnd"/>
      <w:r w:rsidRPr="00DC6B77">
        <w:rPr>
          <w:rFonts w:ascii="Times New Roman" w:hAnsi="Times New Roman" w:cs="Times New Roman"/>
          <w:b/>
        </w:rPr>
        <w:t xml:space="preserve"> y AWS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D37CF9" w:rsidRPr="00DC6B77" w:rsidRDefault="00D37CF9" w:rsidP="000B11F7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Implementar mecanismos de reconexión automática y redundancia en las conexiones.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Configurar el cliente </w:t>
      </w:r>
      <w:proofErr w:type="spellStart"/>
      <w:r w:rsidRPr="00DC6B77">
        <w:rPr>
          <w:rFonts w:ascii="Times New Roman" w:hAnsi="Times New Roman" w:cs="Times New Roman"/>
        </w:rPr>
        <w:t>IoT</w:t>
      </w:r>
      <w:proofErr w:type="spellEnd"/>
      <w:r w:rsidRPr="00DC6B77">
        <w:rPr>
          <w:rFonts w:ascii="Times New Roman" w:hAnsi="Times New Roman" w:cs="Times New Roman"/>
        </w:rPr>
        <w:t xml:space="preserve"> para reconectar automáticamente en caso de pérdida de conexión.</w:t>
      </w:r>
    </w:p>
    <w:p w:rsidR="00D37CF9" w:rsidRPr="00DC6B77" w:rsidRDefault="00D37CF9" w:rsidP="000B11F7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Utilizar múltiples puntos de conexión para redundancia.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IA5: Exposición a Ataques de Intermediarios (MITM)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Utilizar cifrado fuerte para todas las comunicaciones. </w:t>
      </w:r>
    </w:p>
    <w:p w:rsidR="00D37CF9" w:rsidRPr="00DC6B77" w:rsidRDefault="00D37CF9" w:rsidP="000B11F7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Configurar VPN</w:t>
      </w:r>
      <w:r w:rsidR="00A833A4">
        <w:rPr>
          <w:rFonts w:ascii="Times New Roman" w:hAnsi="Times New Roman" w:cs="Times New Roman"/>
        </w:rPr>
        <w:t xml:space="preserve"> de conexión</w:t>
      </w:r>
      <w:r w:rsidRPr="00DC6B77">
        <w:rPr>
          <w:rFonts w:ascii="Times New Roman" w:hAnsi="Times New Roman" w:cs="Times New Roman"/>
        </w:rPr>
        <w:t>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Implementar TLS para todas las comunicaciones entre el dispositivo </w:t>
      </w:r>
      <w:proofErr w:type="spellStart"/>
      <w:r w:rsidRPr="00DC6B77">
        <w:rPr>
          <w:rFonts w:ascii="Times New Roman" w:hAnsi="Times New Roman" w:cs="Times New Roman"/>
        </w:rPr>
        <w:t>IoT</w:t>
      </w:r>
      <w:proofErr w:type="spellEnd"/>
      <w:r w:rsidRPr="00DC6B77">
        <w:rPr>
          <w:rFonts w:ascii="Times New Roman" w:hAnsi="Times New Roman" w:cs="Times New Roman"/>
        </w:rPr>
        <w:t xml:space="preserve"> y AWS.</w:t>
      </w:r>
    </w:p>
    <w:p w:rsidR="00D37CF9" w:rsidRPr="00DC6B77" w:rsidRDefault="00D37CF9" w:rsidP="000B11F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Configurar VPN para asegurar la transmisión de datos.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IA6: Fallos de Seguridad en la Publicación/Suscripción de Datos MQTT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Asegurar la autenticación y autorización para todos los clientes MQTT. </w:t>
      </w:r>
    </w:p>
    <w:p w:rsidR="00D37CF9" w:rsidRPr="00DC6B77" w:rsidRDefault="00D37CF9" w:rsidP="000B11F7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Utilizar TLS para las conexiones MQTT.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lastRenderedPageBreak/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Implementar autenticación basada en certificados para los clientes MQTT.</w:t>
      </w:r>
    </w:p>
    <w:p w:rsidR="00D37CF9" w:rsidRPr="00DC6B77" w:rsidRDefault="00D37CF9" w:rsidP="000B11F7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Configurar TLS para asegurar las conexiones MQTT.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IA7: </w:t>
      </w:r>
      <w:r w:rsidR="00A833A4">
        <w:rPr>
          <w:rFonts w:ascii="Times New Roman" w:hAnsi="Times New Roman" w:cs="Times New Roman"/>
          <w:b/>
        </w:rPr>
        <w:t>P</w:t>
      </w:r>
      <w:r w:rsidR="00A833A4" w:rsidRPr="00DC6B77">
        <w:rPr>
          <w:rFonts w:ascii="Times New Roman" w:hAnsi="Times New Roman" w:cs="Times New Roman"/>
          <w:b/>
        </w:rPr>
        <w:t>érdida de integridad de los datos transmitidos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D37CF9" w:rsidRPr="00DC6B77" w:rsidRDefault="00D37CF9" w:rsidP="000B11F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Implementar mecanismos de verificación de integridad, como firmas digitales o </w:t>
      </w:r>
      <w:proofErr w:type="spellStart"/>
      <w:r w:rsidRPr="00DC6B77">
        <w:rPr>
          <w:rFonts w:ascii="Times New Roman" w:hAnsi="Times New Roman" w:cs="Times New Roman"/>
        </w:rPr>
        <w:t>checksums</w:t>
      </w:r>
      <w:proofErr w:type="spellEnd"/>
      <w:r w:rsidRPr="00DC6B77">
        <w:rPr>
          <w:rFonts w:ascii="Times New Roman" w:hAnsi="Times New Roman" w:cs="Times New Roman"/>
        </w:rPr>
        <w:t>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Utilizar algoritmos de hash para verificar la integridad de los datos.</w:t>
      </w:r>
    </w:p>
    <w:p w:rsidR="00D37CF9" w:rsidRPr="00DC6B77" w:rsidRDefault="00D37CF9" w:rsidP="000B11F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Implementar firmas digitales para asegurar la autenticidad de los datos.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IA8: </w:t>
      </w:r>
      <w:r w:rsidR="00A833A4">
        <w:rPr>
          <w:rFonts w:ascii="Times New Roman" w:hAnsi="Times New Roman" w:cs="Times New Roman"/>
          <w:b/>
        </w:rPr>
        <w:t>C</w:t>
      </w:r>
      <w:r w:rsidR="00A833A4" w:rsidRPr="00DC6B77">
        <w:rPr>
          <w:rFonts w:ascii="Times New Roman" w:hAnsi="Times New Roman" w:cs="Times New Roman"/>
          <w:b/>
        </w:rPr>
        <w:t>onfiguración incorrecta de políticas</w:t>
      </w:r>
      <w:r w:rsidRPr="00DC6B77">
        <w:rPr>
          <w:rFonts w:ascii="Times New Roman" w:hAnsi="Times New Roman" w:cs="Times New Roman"/>
          <w:b/>
        </w:rPr>
        <w:t xml:space="preserve"> IAM en AWS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Revisar y auditar regularmente las políticas IAM. </w:t>
      </w:r>
    </w:p>
    <w:p w:rsidR="00D37CF9" w:rsidRPr="00DC6B77" w:rsidRDefault="00D37CF9" w:rsidP="000B11F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Implementar el principio de privilegio mínimo.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Realizar auditorías periódicas de las políticas IAM.</w:t>
      </w:r>
    </w:p>
    <w:p w:rsidR="00D37CF9" w:rsidRPr="00DC6B77" w:rsidRDefault="00D37CF9" w:rsidP="000B11F7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Configurar políticas IAM con privilegios mínimos necesarios.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IA9: </w:t>
      </w:r>
      <w:r w:rsidR="00A833A4">
        <w:rPr>
          <w:rFonts w:ascii="Times New Roman" w:hAnsi="Times New Roman" w:cs="Times New Roman"/>
          <w:b/>
        </w:rPr>
        <w:t>E</w:t>
      </w:r>
      <w:r w:rsidR="00A833A4" w:rsidRPr="00DC6B77">
        <w:rPr>
          <w:rFonts w:ascii="Times New Roman" w:hAnsi="Times New Roman" w:cs="Times New Roman"/>
          <w:b/>
        </w:rPr>
        <w:t>scalabilidad y rendimiento de las funciones</w:t>
      </w:r>
      <w:r w:rsidRPr="00DC6B77">
        <w:rPr>
          <w:rFonts w:ascii="Times New Roman" w:hAnsi="Times New Roman" w:cs="Times New Roman"/>
          <w:b/>
        </w:rPr>
        <w:t xml:space="preserve"> Lambda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Monitorear el rendimiento y ajustar la configuración de escalado automático. </w:t>
      </w:r>
    </w:p>
    <w:p w:rsidR="00D37CF9" w:rsidRPr="00DC6B77" w:rsidRDefault="00D37CF9" w:rsidP="000B11F7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Optimizar el código de las funciones.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Configurar </w:t>
      </w:r>
      <w:proofErr w:type="spellStart"/>
      <w:r w:rsidRPr="00DC6B77">
        <w:rPr>
          <w:rFonts w:ascii="Times New Roman" w:hAnsi="Times New Roman" w:cs="Times New Roman"/>
        </w:rPr>
        <w:t>CloudWatch</w:t>
      </w:r>
      <w:proofErr w:type="spellEnd"/>
      <w:r w:rsidRPr="00DC6B77">
        <w:rPr>
          <w:rFonts w:ascii="Times New Roman" w:hAnsi="Times New Roman" w:cs="Times New Roman"/>
        </w:rPr>
        <w:t xml:space="preserve"> para monitorear el rendimiento de las funciones Lambda.</w:t>
      </w:r>
    </w:p>
    <w:p w:rsidR="00D37CF9" w:rsidRPr="00DC6B77" w:rsidRDefault="00D37CF9" w:rsidP="000B11F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Ajustar las configuraciones de escalado automático según las necesidades.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IA10: </w:t>
      </w:r>
      <w:r w:rsidR="00A833A4">
        <w:rPr>
          <w:rFonts w:ascii="Times New Roman" w:hAnsi="Times New Roman" w:cs="Times New Roman"/>
          <w:b/>
        </w:rPr>
        <w:t>F</w:t>
      </w:r>
      <w:r w:rsidR="00A833A4" w:rsidRPr="00DC6B77">
        <w:rPr>
          <w:rFonts w:ascii="Times New Roman" w:hAnsi="Times New Roman" w:cs="Times New Roman"/>
          <w:b/>
        </w:rPr>
        <w:t>alta de monitoreo y alertas en tiempo real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0B11F7" w:rsidRPr="00DC6B77" w:rsidRDefault="00D37CF9" w:rsidP="000B11F7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 xml:space="preserve">Implementar servicios de monitoreo y alertas en tiempo real, como </w:t>
      </w:r>
      <w:proofErr w:type="spellStart"/>
      <w:r w:rsidRPr="00DC6B77">
        <w:rPr>
          <w:rFonts w:ascii="Times New Roman" w:hAnsi="Times New Roman" w:cs="Times New Roman"/>
        </w:rPr>
        <w:t>CloudWatch</w:t>
      </w:r>
      <w:proofErr w:type="spellEnd"/>
      <w:r w:rsidRPr="00DC6B77">
        <w:rPr>
          <w:rFonts w:ascii="Times New Roman" w:hAnsi="Times New Roman" w:cs="Times New Roman"/>
        </w:rPr>
        <w:t xml:space="preserve">. </w:t>
      </w:r>
    </w:p>
    <w:p w:rsidR="00D37CF9" w:rsidRPr="00DC6B77" w:rsidRDefault="00D37CF9" w:rsidP="000B11F7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Configurar notificaciones de eventos.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lastRenderedPageBreak/>
        <w:t xml:space="preserve">Configurar </w:t>
      </w:r>
      <w:proofErr w:type="spellStart"/>
      <w:r w:rsidRPr="00DC6B77">
        <w:rPr>
          <w:rFonts w:ascii="Times New Roman" w:hAnsi="Times New Roman" w:cs="Times New Roman"/>
        </w:rPr>
        <w:t>CloudWatch</w:t>
      </w:r>
      <w:proofErr w:type="spellEnd"/>
      <w:r w:rsidRPr="00DC6B77">
        <w:rPr>
          <w:rFonts w:ascii="Times New Roman" w:hAnsi="Times New Roman" w:cs="Times New Roman"/>
        </w:rPr>
        <w:t xml:space="preserve"> para monitorear los servicios y recursos de AWS.</w:t>
      </w:r>
    </w:p>
    <w:p w:rsidR="00D37CF9" w:rsidRPr="00DC6B77" w:rsidRDefault="00D37CF9" w:rsidP="000B11F7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Configurar SNS para notificaciones de eventos críticos.</w:t>
      </w:r>
    </w:p>
    <w:p w:rsidR="000B11F7" w:rsidRPr="00DC6B77" w:rsidRDefault="000B11F7" w:rsidP="00D37CF9">
      <w:pPr>
        <w:rPr>
          <w:rFonts w:ascii="Times New Roman" w:hAnsi="Times New Roman" w:cs="Times New Roman"/>
        </w:rPr>
      </w:pP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 xml:space="preserve">IA11: </w:t>
      </w:r>
      <w:r w:rsidR="00A833A4">
        <w:rPr>
          <w:rFonts w:ascii="Times New Roman" w:hAnsi="Times New Roman" w:cs="Times New Roman"/>
          <w:b/>
        </w:rPr>
        <w:t>F</w:t>
      </w:r>
      <w:r w:rsidR="00A833A4" w:rsidRPr="00DC6B77">
        <w:rPr>
          <w:rFonts w:ascii="Times New Roman" w:hAnsi="Times New Roman" w:cs="Times New Roman"/>
          <w:b/>
        </w:rPr>
        <w:t xml:space="preserve">allos en la sincronización de datos entre el dispositivo </w:t>
      </w:r>
      <w:r w:rsidRPr="00DC6B77">
        <w:rPr>
          <w:rFonts w:ascii="Times New Roman" w:hAnsi="Times New Roman" w:cs="Times New Roman"/>
          <w:b/>
        </w:rPr>
        <w:t>y AWS</w:t>
      </w:r>
    </w:p>
    <w:p w:rsidR="000B11F7" w:rsidRPr="00DC6B77" w:rsidRDefault="00DC6B77" w:rsidP="00D37C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Estrategia para Mitigar:</w:t>
      </w:r>
      <w:r w:rsidR="00D37CF9" w:rsidRPr="00DC6B77">
        <w:rPr>
          <w:rFonts w:ascii="Times New Roman" w:hAnsi="Times New Roman" w:cs="Times New Roman"/>
          <w:b/>
        </w:rPr>
        <w:t xml:space="preserve"> </w:t>
      </w:r>
    </w:p>
    <w:p w:rsidR="00D37CF9" w:rsidRPr="00DC6B77" w:rsidRDefault="00D37CF9" w:rsidP="000B11F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Utilizar mecanismos de sincronización robustos y realizar pruebas de consistencia de datos periódicamente.</w:t>
      </w:r>
    </w:p>
    <w:p w:rsidR="00D37CF9" w:rsidRPr="00DC6B77" w:rsidRDefault="00D37CF9" w:rsidP="00D37CF9">
      <w:pPr>
        <w:rPr>
          <w:rFonts w:ascii="Times New Roman" w:hAnsi="Times New Roman" w:cs="Times New Roman"/>
          <w:b/>
        </w:rPr>
      </w:pPr>
      <w:r w:rsidRPr="00DC6B77">
        <w:rPr>
          <w:rFonts w:ascii="Times New Roman" w:hAnsi="Times New Roman" w:cs="Times New Roman"/>
          <w:b/>
        </w:rPr>
        <w:t>Acciones:</w:t>
      </w:r>
    </w:p>
    <w:p w:rsidR="00D37CF9" w:rsidRPr="00DC6B77" w:rsidRDefault="00D37CF9" w:rsidP="000B11F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Implementar colas de mensajes para asegurar la entrega de datos.</w:t>
      </w:r>
    </w:p>
    <w:p w:rsidR="00D37CF9" w:rsidRPr="00DC6B77" w:rsidRDefault="00D37CF9" w:rsidP="000B11F7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DC6B77">
        <w:rPr>
          <w:rFonts w:ascii="Times New Roman" w:hAnsi="Times New Roman" w:cs="Times New Roman"/>
        </w:rPr>
        <w:t>Realizar pruebas periódicas para asegurar la consistencia y sincronización de los datos.</w:t>
      </w:r>
    </w:p>
    <w:p w:rsidR="000B11F7" w:rsidRPr="00DC6B77" w:rsidRDefault="000B11F7" w:rsidP="000B11F7">
      <w:pPr>
        <w:rPr>
          <w:rFonts w:ascii="Times New Roman" w:hAnsi="Times New Roman" w:cs="Times New Roman"/>
        </w:rPr>
      </w:pPr>
    </w:p>
    <w:p w:rsidR="000B11F7" w:rsidRPr="00DC6B77" w:rsidRDefault="00D62C25" w:rsidP="000B11F7">
      <w:pPr>
        <w:rPr>
          <w:rFonts w:ascii="Times New Roman" w:hAnsi="Times New Roman" w:cs="Times New Roman"/>
        </w:rPr>
      </w:pPr>
      <w:r w:rsidRPr="00D62C25">
        <w:rPr>
          <w:rFonts w:ascii="Times New Roman" w:hAnsi="Times New Roman" w:cs="Times New Roman"/>
        </w:rPr>
        <w:t xml:space="preserve">Este levantamiento de información basado en la norma ISO 31000 inicia con la identificación y evaluación de los riesgos asociados en el </w:t>
      </w:r>
      <w:r>
        <w:rPr>
          <w:rFonts w:ascii="Times New Roman" w:hAnsi="Times New Roman" w:cs="Times New Roman"/>
        </w:rPr>
        <w:t>segundo</w:t>
      </w:r>
      <w:r w:rsidRPr="00D62C25">
        <w:rPr>
          <w:rFonts w:ascii="Times New Roman" w:hAnsi="Times New Roman" w:cs="Times New Roman"/>
        </w:rPr>
        <w:t xml:space="preserve"> sprint definido para nuestro proyecto. Los riesgos aquí mencionados pueden variar según </w:t>
      </w:r>
      <w:r>
        <w:rPr>
          <w:rFonts w:ascii="Times New Roman" w:hAnsi="Times New Roman" w:cs="Times New Roman"/>
        </w:rPr>
        <w:t xml:space="preserve">las configuraciones en la cuenta de AWS utilizada para el registro, programación y pruebas para la transmisión de información desde el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dispositivo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 w:rsidRPr="00D62C25">
        <w:rPr>
          <w:rFonts w:ascii="Times New Roman" w:hAnsi="Times New Roman" w:cs="Times New Roman"/>
        </w:rPr>
        <w:t>.</w:t>
      </w:r>
    </w:p>
    <w:sectPr w:rsidR="000B11F7" w:rsidRPr="00DC6B77" w:rsidSect="000972ED">
      <w:pgSz w:w="12240" w:h="15840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569"/>
    <w:multiLevelType w:val="hybridMultilevel"/>
    <w:tmpl w:val="C1D6C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4CD0"/>
    <w:multiLevelType w:val="hybridMultilevel"/>
    <w:tmpl w:val="3C2A7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B5393"/>
    <w:multiLevelType w:val="hybridMultilevel"/>
    <w:tmpl w:val="EEA01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B3E80"/>
    <w:multiLevelType w:val="hybridMultilevel"/>
    <w:tmpl w:val="0A92F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64F0"/>
    <w:multiLevelType w:val="hybridMultilevel"/>
    <w:tmpl w:val="28501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A5152"/>
    <w:multiLevelType w:val="hybridMultilevel"/>
    <w:tmpl w:val="DFD0E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931"/>
    <w:multiLevelType w:val="hybridMultilevel"/>
    <w:tmpl w:val="7876E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4EE9"/>
    <w:multiLevelType w:val="hybridMultilevel"/>
    <w:tmpl w:val="05E6C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E6881"/>
    <w:multiLevelType w:val="hybridMultilevel"/>
    <w:tmpl w:val="BC662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90BBF"/>
    <w:multiLevelType w:val="hybridMultilevel"/>
    <w:tmpl w:val="C3EC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4CB0"/>
    <w:multiLevelType w:val="hybridMultilevel"/>
    <w:tmpl w:val="55D8A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C6FC0"/>
    <w:multiLevelType w:val="hybridMultilevel"/>
    <w:tmpl w:val="EBE2D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63486"/>
    <w:multiLevelType w:val="hybridMultilevel"/>
    <w:tmpl w:val="8A44D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F2157"/>
    <w:multiLevelType w:val="hybridMultilevel"/>
    <w:tmpl w:val="9E546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506B8"/>
    <w:multiLevelType w:val="hybridMultilevel"/>
    <w:tmpl w:val="EC5AF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E4A83"/>
    <w:multiLevelType w:val="hybridMultilevel"/>
    <w:tmpl w:val="8DBE3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15D44"/>
    <w:multiLevelType w:val="hybridMultilevel"/>
    <w:tmpl w:val="8AA20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13947"/>
    <w:multiLevelType w:val="hybridMultilevel"/>
    <w:tmpl w:val="1A2683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4251E"/>
    <w:multiLevelType w:val="hybridMultilevel"/>
    <w:tmpl w:val="143A5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5"/>
  </w:num>
  <w:num w:numId="5">
    <w:abstractNumId w:val="14"/>
  </w:num>
  <w:num w:numId="6">
    <w:abstractNumId w:val="12"/>
  </w:num>
  <w:num w:numId="7">
    <w:abstractNumId w:val="18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13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F9"/>
    <w:rsid w:val="000972ED"/>
    <w:rsid w:val="000B11F7"/>
    <w:rsid w:val="007B184B"/>
    <w:rsid w:val="009773AE"/>
    <w:rsid w:val="00A833A4"/>
    <w:rsid w:val="00D37CF9"/>
    <w:rsid w:val="00D62C25"/>
    <w:rsid w:val="00DC6B77"/>
    <w:rsid w:val="00F01650"/>
    <w:rsid w:val="00FA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2AC5"/>
  <w15:chartTrackingRefBased/>
  <w15:docId w15:val="{65B4970B-5F71-4D22-B0F6-62F13B2D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11F7"/>
    <w:pPr>
      <w:ind w:left="720"/>
      <w:contextualSpacing/>
    </w:pPr>
  </w:style>
  <w:style w:type="paragraph" w:customStyle="1" w:styleId="paragraph">
    <w:name w:val="paragraph"/>
    <w:basedOn w:val="Normal"/>
    <w:rsid w:val="00DC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C6B77"/>
  </w:style>
  <w:style w:type="character" w:customStyle="1" w:styleId="eop">
    <w:name w:val="eop"/>
    <w:basedOn w:val="Fuentedeprrafopredeter"/>
    <w:rsid w:val="00DC6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</dc:creator>
  <cp:keywords/>
  <dc:description/>
  <cp:lastModifiedBy>Giancarlo</cp:lastModifiedBy>
  <cp:revision>3</cp:revision>
  <dcterms:created xsi:type="dcterms:W3CDTF">2024-06-07T02:12:00Z</dcterms:created>
  <dcterms:modified xsi:type="dcterms:W3CDTF">2024-06-07T05:02:00Z</dcterms:modified>
</cp:coreProperties>
</file>