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MANUAL MAESTRO DE FIABONO</w:t>
      </w:r>
    </w:p>
    <w:p>
      <w:pPr>
        <w:spacing w:after="300"/>
        <w:jc w:val="center"/>
      </w:pPr>
      <w:r>
        <w:rPr>
          <w:b/>
          <w:bCs/>
          <w:color w:val="0F172A"/>
          <w:sz w:val="28"/>
          <w:szCs w:val="28"/>
        </w:rPr>
        <w:t xml:space="preserve">Capítulo 1: Registro, Onboarding y Configuración del Negocio</w:t>
      </w:r>
    </w:p>
    <w:p>
      <w:pPr>
        <w:pStyle w:val="Heading1"/>
        <w:spacing w:after="120" w:before="240"/>
      </w:pPr>
      <w:r>
        <w:t xml:space="preserve">1. Acceso a la Plataforma y Registro de Cuenta</w:t>
      </w:r>
    </w:p>
    <w:p>
      <w:r>
        <w:t xml:space="preserve">El proceso de apertura de un comercio en Fiabono está optimizado para completarse en menos de 30 segundos. Solo se requieren 4 datos esenciales:
</w:t>
      </w:r>
      <w:r>
        <w:rPr>
          <w:b/>
          <w:bCs/>
        </w:rPr>
        <w:t xml:space="preserve">• Nombre del Propietario: </w:t>
      </w:r>
      <w:r>
        <w:t xml:space="preserve">Identifica al titular legal de la cuenta comercial.
</w:t>
      </w:r>
      <w:r>
        <w:rPr>
          <w:b/>
          <w:bCs/>
        </w:rPr>
        <w:t xml:space="preserve">• Nombre del Negocio: </w:t>
      </w:r>
      <w:r>
        <w:t xml:space="preserve">Nombre del local visible en tickets y catálogo web.
</w:t>
      </w:r>
      <w:r>
        <w:rPr>
          <w:b/>
          <w:bCs/>
        </w:rPr>
        <w:t xml:space="preserve">• Correo Electrónico: </w:t>
      </w:r>
      <w:r>
        <w:t xml:space="preserve">Identificador único para inicio de sesión y recuperación de claves.
</w:t>
      </w:r>
      <w:r>
        <w:rPr>
          <w:b/>
          <w:bCs/>
        </w:rPr>
        <w:t xml:space="preserve">• Contraseña: </w:t>
      </w:r>
      <w:r>
        <w:t xml:space="preserve">Clave segura de al menos 6 caracteres alfanuméricos.</w:t>
      </w:r>
    </w:p>
    <w:p>
      <w:pPr>
        <w:pStyle w:val="Heading1"/>
        <w:spacing w:after="120" w:before="280"/>
      </w:pPr>
      <w:r>
        <w:t xml:space="preserve">2. Asistente de Configuración Inicial (Onboarding Tour)</w:t>
      </w:r>
    </w:p>
    <w:p>
      <w:r>
        <w:t xml:space="preserve">Al ingresar por primera vez, el sistema despliega automáticamente el Asistente Interactivo en 4 pasos para parametrizar el negocio:
</w:t>
      </w:r>
      <w:r>
        <w:rPr>
          <w:b/>
          <w:bCs/>
        </w:rPr>
        <w:t xml:space="preserve">• Paso 1 (Rubros y Categorías): </w:t>
      </w:r>
      <w:r>
        <w:t xml:space="preserve">Permite seleccionar uno o varios sectores (Moda, Calzado, Abarrotes, Belleza, etc.) y genera de forma automática la lista inicial de categorías sugeridas.
</w:t>
      </w:r>
      <w:r>
        <w:rPr>
          <w:b/>
          <w:bCs/>
        </w:rPr>
        <w:t xml:space="preserve">• Paso 2 (Punto de Venta): </w:t>
      </w:r>
      <w:r>
        <w:t xml:space="preserve">Explica cómo cobrar de contado en 3 segundos con escáner de cámara y enviar tickets por WhatsApp.
</w:t>
      </w:r>
      <w:r>
        <w:rPr>
          <w:b/>
          <w:bCs/>
        </w:rPr>
        <w:t xml:space="preserve">• Paso 3 (Control de Fiados): </w:t>
      </w:r>
      <w:r>
        <w:t xml:space="preserve">Muestra cómo gestionar clientes deudores sin hojas de papel perdidas.
</w:t>
      </w:r>
      <w:r>
        <w:rPr>
          <w:b/>
          <w:bCs/>
        </w:rPr>
        <w:t xml:space="preserve">• Paso 4 (Plan Separe): </w:t>
      </w:r>
      <w:r>
        <w:t xml:space="preserve">Enseña el funcionamiento del apartado de mercancía con retención de stock y fotos de la prenda.</w:t>
      </w:r>
    </w:p>
    <w:p>
      <w:pPr>
        <w:pStyle w:val="Heading1"/>
        <w:spacing w:after="120" w:before="280"/>
      </w:pPr>
      <w:r>
        <w:t xml:space="preserve">3. Parametrización del Perfil y Datos del Comercio</w:t>
      </w:r>
    </w:p>
    <w:p>
      <w:r>
        <w:t xml:space="preserve">Desde el módulo de Ajustes (/dashboard/perfil), el Administrador puede gestionar los siguientes parámetros clave: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1711"/>
        <w:gridCol w:w="1426"/>
        <w:gridCol w:w="3993"/>
      </w:tblGrid>
      <w:tr>
        <w:trPr>
          <w:tblHeader/>
        </w:trPr>
        <w:tc>
          <w:tcPr>
            <w:tcW w:type="pct" w:w="1250"/>
            <w:tcBorders>
              <w:top w:val="single" w:color="0F172A" w:sz="2"/>
              <w:left w:val="none"/>
              <w:bottom w:val="single" w:color="0F172A" w:sz="2"/>
              <w:right w:val="none"/>
            </w:tcBorders>
            <w:shd w:fill="0F172A" w:val="clear"/>
          </w:tcPr>
          <w:p>
            <w:r>
              <w:rPr>
                <w:b/>
                <w:bCs/>
                <w:color w:val="FFFFFF"/>
              </w:rPr>
              <w:t xml:space="preserve">Campo</w:t>
            </w:r>
          </w:p>
        </w:tc>
        <w:tc>
          <w:tcPr>
            <w:tcW w:type="pct" w:w="900"/>
            <w:tcBorders>
              <w:top w:val="single" w:color="0F172A" w:sz="2"/>
              <w:left w:val="none"/>
              <w:bottom w:val="single" w:color="0F172A" w:sz="2"/>
              <w:right w:val="none"/>
            </w:tcBorders>
            <w:shd w:fill="0F172A" w:val="clear"/>
          </w:tcPr>
          <w:p>
            <w:r>
              <w:rPr>
                <w:b/>
                <w:bCs/>
                <w:color w:val="FFFFFF"/>
              </w:rPr>
              <w:t xml:space="preserve">Tipo de Dato</w:t>
            </w:r>
          </w:p>
        </w:tc>
        <w:tc>
          <w:tcPr>
            <w:tcW w:type="pct" w:w="750"/>
            <w:tcBorders>
              <w:top w:val="single" w:color="0F172A" w:sz="2"/>
              <w:left w:val="none"/>
              <w:bottom w:val="single" w:color="0F172A" w:sz="2"/>
              <w:right w:val="none"/>
            </w:tcBorders>
            <w:shd w:fill="0F172A" w:val="clear"/>
          </w:tcPr>
          <w:p>
            <w:r>
              <w:rPr>
                <w:b/>
                <w:bCs/>
                <w:color w:val="FFFFFF"/>
              </w:rPr>
              <w:t xml:space="preserve">¿Obligatorio?</w:t>
            </w:r>
          </w:p>
        </w:tc>
        <w:tc>
          <w:tcPr>
            <w:tcW w:type="pct" w:w="2100"/>
            <w:tcBorders>
              <w:top w:val="single" w:color="0F172A" w:sz="2"/>
              <w:left w:val="none"/>
              <w:bottom w:val="single" w:color="0F172A" w:sz="2"/>
              <w:right w:val="none"/>
            </w:tcBorders>
            <w:shd w:fill="0F172A" w:val="clear"/>
          </w:tcPr>
          <w:p>
            <w:r>
              <w:rPr>
                <w:b/>
                <w:bCs/>
                <w:color w:val="FFFFFF"/>
              </w:rPr>
              <w:t xml:space="preserve">Función e Impacto en el Sistema</w:t>
            </w:r>
          </w:p>
        </w:tc>
      </w:tr>
      <w:tr>
        <w:tc>
          <w:tcPr>
            <w:tcBorders>
              <w:top w:val="single" w:color="CBD5E1" w:sz="1"/>
              <w:left w:val="single" w:color="CBD5E1" w:sz="1"/>
              <w:bottom w:val="single" w:color="CBD5E1" w:sz="1"/>
              <w:right w:val="single" w:color="CBD5E1" w:sz="1"/>
            </w:tcBorders>
            <w:shd w:fill="FFFFFF" w:val="clear"/>
          </w:tcPr>
          <w:p>
            <w:r>
              <w:rPr>
                <w:b/>
                <w:bCs/>
                <w:color w:val="0F172A"/>
              </w:rPr>
              <w:t xml:space="preserve">Nombre del Negocio</w:t>
            </w:r>
          </w:p>
        </w:tc>
        <w:tc>
          <w:tcPr>
            <w:tcBorders>
              <w:top w:val="single" w:color="CBD5E1" w:sz="1"/>
              <w:left w:val="single" w:color="CBD5E1" w:sz="1"/>
              <w:bottom w:val="single" w:color="CBD5E1" w:sz="1"/>
              <w:right w:val="single" w:color="CBD5E1" w:sz="1"/>
            </w:tcBorders>
            <w:shd w:fill="FFFFFF" w:val="clear"/>
          </w:tcPr>
          <w:p>
            <w:r>
              <w:rPr>
                <w:color w:val="475569"/>
              </w:rPr>
              <w:t xml:space="preserve">Texto (máx 50 car.)</w:t>
            </w:r>
          </w:p>
        </w:tc>
        <w:tc>
          <w:tcPr>
            <w:tcBorders>
              <w:top w:val="single" w:color="CBD5E1" w:sz="1"/>
              <w:left w:val="single" w:color="CBD5E1" w:sz="1"/>
              <w:bottom w:val="single" w:color="CBD5E1" w:sz="1"/>
              <w:right w:val="single" w:color="CBD5E1" w:sz="1"/>
            </w:tcBorders>
            <w:shd w:fill="FFFFFF" w:val="clear"/>
          </w:tcPr>
          <w:p>
            <w:pPr>
              <w:jc w:val="center"/>
            </w:pPr>
            <w:r>
              <w:rPr>
                <w:b/>
                <w:bCs/>
                <w:color w:val="DC2626"/>
              </w:rPr>
              <w:t xml:space="preserve">SÍ</w:t>
            </w:r>
          </w:p>
        </w:tc>
        <w:tc>
          <w:tcPr>
            <w:tcBorders>
              <w:top w:val="single" w:color="CBD5E1" w:sz="1"/>
              <w:left w:val="single" w:color="CBD5E1" w:sz="1"/>
              <w:bottom w:val="single" w:color="CBD5E1" w:sz="1"/>
              <w:right w:val="single" w:color="CBD5E1" w:sz="1"/>
            </w:tcBorders>
            <w:shd w:fill="FFFFFF" w:val="clear"/>
          </w:tcPr>
          <w:p>
            <w:r>
              <w:rPr>
                <w:color w:val="1E293B"/>
              </w:rPr>
              <w:t xml:space="preserve">Visible en encabezados, tickets físicos, recibos de WhatsApp y slug web.</w:t>
            </w:r>
          </w:p>
        </w:tc>
      </w:tr>
      <w:tr>
        <w:tc>
          <w:tcPr>
            <w:tcBorders>
              <w:top w:val="single" w:color="CBD5E1" w:sz="1"/>
              <w:left w:val="single" w:color="CBD5E1" w:sz="1"/>
              <w:bottom w:val="single" w:color="CBD5E1" w:sz="1"/>
              <w:right w:val="single" w:color="CBD5E1" w:sz="1"/>
            </w:tcBorders>
            <w:shd w:fill="F8FAFC" w:val="clear"/>
          </w:tcPr>
          <w:p>
            <w:r>
              <w:rPr>
                <w:b/>
                <w:bCs/>
                <w:color w:val="0F172A"/>
              </w:rPr>
              <w:t xml:space="preserve">Rubro Comercial</w:t>
            </w:r>
          </w:p>
        </w:tc>
        <w:tc>
          <w:tcPr>
            <w:tcBorders>
              <w:top w:val="single" w:color="CBD5E1" w:sz="1"/>
              <w:left w:val="single" w:color="CBD5E1" w:sz="1"/>
              <w:bottom w:val="single" w:color="CBD5E1" w:sz="1"/>
              <w:right w:val="single" w:color="CBD5E1" w:sz="1"/>
            </w:tcBorders>
            <w:shd w:fill="F8FAFC" w:val="clear"/>
          </w:tcPr>
          <w:p>
            <w:r>
              <w:rPr>
                <w:color w:val="475569"/>
              </w:rPr>
              <w:t xml:space="preserve">Selector desplegable</w:t>
            </w:r>
          </w:p>
        </w:tc>
        <w:tc>
          <w:tcPr>
            <w:tcBorders>
              <w:top w:val="single" w:color="CBD5E1" w:sz="1"/>
              <w:left w:val="single" w:color="CBD5E1" w:sz="1"/>
              <w:bottom w:val="single" w:color="CBD5E1" w:sz="1"/>
              <w:right w:val="single" w:color="CBD5E1" w:sz="1"/>
            </w:tcBorders>
            <w:shd w:fill="F8FAFC" w:val="clear"/>
          </w:tcPr>
          <w:p>
            <w:pPr>
              <w:jc w:val="center"/>
            </w:pPr>
            <w:r>
              <w:rPr>
                <w:b/>
                <w:bCs/>
                <w:color w:val="DC2626"/>
              </w:rPr>
              <w:t xml:space="preserve">SÍ</w:t>
            </w:r>
          </w:p>
        </w:tc>
        <w:tc>
          <w:tcPr>
            <w:tcBorders>
              <w:top w:val="single" w:color="CBD5E1" w:sz="1"/>
              <w:left w:val="single" w:color="CBD5E1" w:sz="1"/>
              <w:bottom w:val="single" w:color="CBD5E1" w:sz="1"/>
              <w:right w:val="single" w:color="CBD5E1" w:sz="1"/>
            </w:tcBorders>
            <w:shd w:fill="F8FAFC" w:val="clear"/>
          </w:tcPr>
          <w:p>
            <w:r>
              <w:rPr>
                <w:color w:val="1E293B"/>
              </w:rPr>
              <w:t xml:space="preserve">Calibra sugerencias automáticas de categorías y flujo de inventario.</w:t>
            </w:r>
          </w:p>
        </w:tc>
      </w:tr>
      <w:tr>
        <w:tc>
          <w:tcPr>
            <w:tcBorders>
              <w:top w:val="single" w:color="CBD5E1" w:sz="1"/>
              <w:left w:val="single" w:color="CBD5E1" w:sz="1"/>
              <w:bottom w:val="single" w:color="CBD5E1" w:sz="1"/>
              <w:right w:val="single" w:color="CBD5E1" w:sz="1"/>
            </w:tcBorders>
            <w:shd w:fill="FFFFFF" w:val="clear"/>
          </w:tcPr>
          <w:p>
            <w:r>
              <w:rPr>
                <w:b/>
                <w:bCs/>
                <w:color w:val="0F172A"/>
              </w:rPr>
              <w:t xml:space="preserve">NIT o Cédula</w:t>
            </w:r>
          </w:p>
        </w:tc>
        <w:tc>
          <w:tcPr>
            <w:tcBorders>
              <w:top w:val="single" w:color="CBD5E1" w:sz="1"/>
              <w:left w:val="single" w:color="CBD5E1" w:sz="1"/>
              <w:bottom w:val="single" w:color="CBD5E1" w:sz="1"/>
              <w:right w:val="single" w:color="CBD5E1" w:sz="1"/>
            </w:tcBorders>
            <w:shd w:fill="FFFFFF" w:val="clear"/>
          </w:tcPr>
          <w:p>
            <w:r>
              <w:rPr>
                <w:color w:val="475569"/>
              </w:rPr>
              <w:t xml:space="preserve">Alfanumérico</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rPr>
              <w:t xml:space="preserve">Opcional</w:t>
            </w:r>
          </w:p>
        </w:tc>
        <w:tc>
          <w:tcPr>
            <w:tcBorders>
              <w:top w:val="single" w:color="CBD5E1" w:sz="1"/>
              <w:left w:val="single" w:color="CBD5E1" w:sz="1"/>
              <w:bottom w:val="single" w:color="CBD5E1" w:sz="1"/>
              <w:right w:val="single" w:color="CBD5E1" w:sz="1"/>
            </w:tcBorders>
            <w:shd w:fill="FFFFFF" w:val="clear"/>
          </w:tcPr>
          <w:p>
            <w:r>
              <w:rPr>
                <w:color w:val="1E293B"/>
              </w:rPr>
              <w:t xml:space="preserve">Se imprime en el encabezado del ticket para validez comercial/tributaria.</w:t>
            </w:r>
          </w:p>
        </w:tc>
      </w:tr>
      <w:tr>
        <w:tc>
          <w:tcPr>
            <w:tcBorders>
              <w:top w:val="single" w:color="CBD5E1" w:sz="1"/>
              <w:left w:val="single" w:color="CBD5E1" w:sz="1"/>
              <w:bottom w:val="single" w:color="CBD5E1" w:sz="1"/>
              <w:right w:val="single" w:color="CBD5E1" w:sz="1"/>
            </w:tcBorders>
            <w:shd w:fill="F8FAFC" w:val="clear"/>
          </w:tcPr>
          <w:p>
            <w:r>
              <w:rPr>
                <w:b/>
                <w:bCs/>
                <w:color w:val="0F172A"/>
              </w:rPr>
              <w:t xml:space="preserve">Teléfono / WhatsApp</w:t>
            </w:r>
          </w:p>
        </w:tc>
        <w:tc>
          <w:tcPr>
            <w:tcBorders>
              <w:top w:val="single" w:color="CBD5E1" w:sz="1"/>
              <w:left w:val="single" w:color="CBD5E1" w:sz="1"/>
              <w:bottom w:val="single" w:color="CBD5E1" w:sz="1"/>
              <w:right w:val="single" w:color="CBD5E1" w:sz="1"/>
            </w:tcBorders>
            <w:shd w:fill="F8FAFC" w:val="clear"/>
          </w:tcPr>
          <w:p>
            <w:r>
              <w:rPr>
                <w:color w:val="475569"/>
              </w:rPr>
              <w:t xml:space="preserve">Numérico (10 dígitos)</w:t>
            </w:r>
          </w:p>
        </w:tc>
        <w:tc>
          <w:tcPr>
            <w:tcBorders>
              <w:top w:val="single" w:color="CBD5E1" w:sz="1"/>
              <w:left w:val="single" w:color="CBD5E1" w:sz="1"/>
              <w:bottom w:val="single" w:color="CBD5E1" w:sz="1"/>
              <w:right w:val="single" w:color="CBD5E1" w:sz="1"/>
            </w:tcBorders>
            <w:shd w:fill="F8FAFC" w:val="clear"/>
          </w:tcPr>
          <w:p>
            <w:pPr>
              <w:jc w:val="center"/>
            </w:pPr>
            <w:r>
              <w:rPr>
                <w:b/>
                <w:bCs/>
                <w:color w:val="DC2626"/>
              </w:rPr>
              <w:t xml:space="preserve">SÍ</w:t>
            </w:r>
          </w:p>
        </w:tc>
        <w:tc>
          <w:tcPr>
            <w:tcBorders>
              <w:top w:val="single" w:color="CBD5E1" w:sz="1"/>
              <w:left w:val="single" w:color="CBD5E1" w:sz="1"/>
              <w:bottom w:val="single" w:color="CBD5E1" w:sz="1"/>
              <w:right w:val="single" w:color="CBD5E1" w:sz="1"/>
            </w:tcBorders>
            <w:shd w:fill="F8FAFC" w:val="clear"/>
          </w:tcPr>
          <w:p>
            <w:r>
              <w:rPr>
                <w:color w:val="1E293B"/>
              </w:rPr>
              <w:t xml:space="preserve">Contacto oficial del comercio y remitente para tickets por WhatsApp.</w:t>
            </w:r>
          </w:p>
        </w:tc>
      </w:tr>
      <w:tr>
        <w:tc>
          <w:tcPr>
            <w:tcBorders>
              <w:top w:val="single" w:color="CBD5E1" w:sz="1"/>
              <w:left w:val="single" w:color="CBD5E1" w:sz="1"/>
              <w:bottom w:val="single" w:color="CBD5E1" w:sz="1"/>
              <w:right w:val="single" w:color="CBD5E1" w:sz="1"/>
            </w:tcBorders>
            <w:shd w:fill="FFFFFF" w:val="clear"/>
          </w:tcPr>
          <w:p>
            <w:r>
              <w:rPr>
                <w:b/>
                <w:bCs/>
                <w:color w:val="0F172A"/>
              </w:rPr>
              <w:t xml:space="preserve">Dirección Física</w:t>
            </w:r>
          </w:p>
        </w:tc>
        <w:tc>
          <w:tcPr>
            <w:tcBorders>
              <w:top w:val="single" w:color="CBD5E1" w:sz="1"/>
              <w:left w:val="single" w:color="CBD5E1" w:sz="1"/>
              <w:bottom w:val="single" w:color="CBD5E1" w:sz="1"/>
              <w:right w:val="single" w:color="CBD5E1" w:sz="1"/>
            </w:tcBorders>
            <w:shd w:fill="FFFFFF" w:val="clear"/>
          </w:tcPr>
          <w:p>
            <w:r>
              <w:rPr>
                <w:color w:val="475569"/>
              </w:rPr>
              <w:t xml:space="preserve">Texto (máx 80 car.)</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rPr>
              <w:t xml:space="preserve">Opcional</w:t>
            </w:r>
          </w:p>
        </w:tc>
        <w:tc>
          <w:tcPr>
            <w:tcBorders>
              <w:top w:val="single" w:color="CBD5E1" w:sz="1"/>
              <w:left w:val="single" w:color="CBD5E1" w:sz="1"/>
              <w:bottom w:val="single" w:color="CBD5E1" w:sz="1"/>
              <w:right w:val="single" w:color="CBD5E1" w:sz="1"/>
            </w:tcBorders>
            <w:shd w:fill="FFFFFF" w:val="clear"/>
          </w:tcPr>
          <w:p>
            <w:r>
              <w:rPr>
                <w:color w:val="1E293B"/>
              </w:rPr>
              <w:t xml:space="preserve">Ubicación del local comercial impresa en el ticket físico.</w:t>
            </w:r>
          </w:p>
        </w:tc>
      </w:tr>
      <w:tr>
        <w:tc>
          <w:tcPr>
            <w:tcBorders>
              <w:top w:val="single" w:color="CBD5E1" w:sz="1"/>
              <w:left w:val="single" w:color="CBD5E1" w:sz="1"/>
              <w:bottom w:val="single" w:color="CBD5E1" w:sz="1"/>
              <w:right w:val="single" w:color="CBD5E1" w:sz="1"/>
            </w:tcBorders>
            <w:shd w:fill="F8FAFC" w:val="clear"/>
          </w:tcPr>
          <w:p>
            <w:r>
              <w:rPr>
                <w:b/>
                <w:bCs/>
                <w:color w:val="0F172A"/>
              </w:rPr>
              <w:t xml:space="preserve">Logo del Comercio</w:t>
            </w:r>
          </w:p>
        </w:tc>
        <w:tc>
          <w:tcPr>
            <w:tcBorders>
              <w:top w:val="single" w:color="CBD5E1" w:sz="1"/>
              <w:left w:val="single" w:color="CBD5E1" w:sz="1"/>
              <w:bottom w:val="single" w:color="CBD5E1" w:sz="1"/>
              <w:right w:val="single" w:color="CBD5E1" w:sz="1"/>
            </w:tcBorders>
            <w:shd w:fill="F8FAFC" w:val="clear"/>
          </w:tcPr>
          <w:p>
            <w:r>
              <w:rPr>
                <w:color w:val="475569"/>
              </w:rPr>
              <w:t xml:space="preserve">Imagen (PNG, JPG)</w:t>
            </w:r>
          </w:p>
        </w:tc>
        <w:tc>
          <w:tcPr>
            <w:tcBorders>
              <w:top w:val="single" w:color="CBD5E1" w:sz="1"/>
              <w:left w:val="single" w:color="CBD5E1" w:sz="1"/>
              <w:bottom w:val="single" w:color="CBD5E1" w:sz="1"/>
              <w:right w:val="single" w:color="CBD5E1" w:sz="1"/>
            </w:tcBorders>
            <w:shd w:fill="F8FAFC" w:val="clear"/>
          </w:tcPr>
          <w:p>
            <w:pPr>
              <w:jc w:val="center"/>
            </w:pPr>
            <w:r>
              <w:rPr>
                <w:b w:val="false"/>
                <w:bCs w:val="false"/>
                <w:color w:val="64748B"/>
              </w:rPr>
              <w:t xml:space="preserve">Opcional</w:t>
            </w:r>
          </w:p>
        </w:tc>
        <w:tc>
          <w:tcPr>
            <w:tcBorders>
              <w:top w:val="single" w:color="CBD5E1" w:sz="1"/>
              <w:left w:val="single" w:color="CBD5E1" w:sz="1"/>
              <w:bottom w:val="single" w:color="CBD5E1" w:sz="1"/>
              <w:right w:val="single" w:color="CBD5E1" w:sz="1"/>
            </w:tcBorders>
            <w:shd w:fill="F8FAFC" w:val="clear"/>
          </w:tcPr>
          <w:p>
            <w:r>
              <w:rPr>
                <w:color w:val="1E293B"/>
              </w:rPr>
              <w:t xml:space="preserve">Se imprime en el encabezado térmico y en el ticket digital público /t/[id].</w:t>
            </w:r>
          </w:p>
        </w:tc>
      </w:tr>
      <w:tr>
        <w:tc>
          <w:tcPr>
            <w:tcBorders>
              <w:top w:val="single" w:color="CBD5E1" w:sz="1"/>
              <w:left w:val="single" w:color="CBD5E1" w:sz="1"/>
              <w:bottom w:val="single" w:color="CBD5E1" w:sz="1"/>
              <w:right w:val="single" w:color="CBD5E1" w:sz="1"/>
            </w:tcBorders>
            <w:shd w:fill="FFFFFF" w:val="clear"/>
          </w:tcPr>
          <w:p>
            <w:r>
              <w:rPr>
                <w:b/>
                <w:bCs/>
                <w:color w:val="0F172A"/>
              </w:rPr>
              <w:t xml:space="preserve">Slug Público</w:t>
            </w:r>
          </w:p>
        </w:tc>
        <w:tc>
          <w:tcPr>
            <w:tcBorders>
              <w:top w:val="single" w:color="CBD5E1" w:sz="1"/>
              <w:left w:val="single" w:color="CBD5E1" w:sz="1"/>
              <w:bottom w:val="single" w:color="CBD5E1" w:sz="1"/>
              <w:right w:val="single" w:color="CBD5E1" w:sz="1"/>
            </w:tcBorders>
            <w:shd w:fill="FFFFFF" w:val="clear"/>
          </w:tcPr>
          <w:p>
            <w:r>
              <w:rPr>
                <w:color w:val="475569"/>
              </w:rPr>
              <w:t xml:space="preserve">Texto (minúsculas, guiones)</w:t>
            </w:r>
          </w:p>
        </w:tc>
        <w:tc>
          <w:tcPr>
            <w:tcBorders>
              <w:top w:val="single" w:color="CBD5E1" w:sz="1"/>
              <w:left w:val="single" w:color="CBD5E1" w:sz="1"/>
              <w:bottom w:val="single" w:color="CBD5E1" w:sz="1"/>
              <w:right w:val="single" w:color="CBD5E1" w:sz="1"/>
            </w:tcBorders>
            <w:shd w:fill="FFFFFF" w:val="clear"/>
          </w:tcPr>
          <w:p>
            <w:pPr>
              <w:jc w:val="center"/>
            </w:pPr>
            <w:r>
              <w:rPr>
                <w:b/>
                <w:bCs/>
                <w:color w:val="DC2626"/>
              </w:rPr>
              <w:t xml:space="preserve">SÍ</w:t>
            </w:r>
          </w:p>
        </w:tc>
        <w:tc>
          <w:tcPr>
            <w:tcBorders>
              <w:top w:val="single" w:color="CBD5E1" w:sz="1"/>
              <w:left w:val="single" w:color="CBD5E1" w:sz="1"/>
              <w:bottom w:val="single" w:color="CBD5E1" w:sz="1"/>
              <w:right w:val="single" w:color="CBD5E1" w:sz="1"/>
            </w:tcBorders>
            <w:shd w:fill="FFFFFF" w:val="clear"/>
          </w:tcPr>
          <w:p>
            <w:r>
              <w:rPr>
                <w:color w:val="1E293B"/>
              </w:rPr>
              <w:t xml:space="preserve">Dirección web única del negocio (fiabono.com/tienda/tu-nombre).</w:t>
            </w:r>
          </w:p>
        </w:tc>
      </w:tr>
      <w:tr>
        <w:tc>
          <w:tcPr>
            <w:tcBorders>
              <w:top w:val="single" w:color="CBD5E1" w:sz="1"/>
              <w:left w:val="single" w:color="CBD5E1" w:sz="1"/>
              <w:bottom w:val="single" w:color="CBD5E1" w:sz="1"/>
              <w:right w:val="single" w:color="CBD5E1" w:sz="1"/>
            </w:tcBorders>
            <w:shd w:fill="F8FAFC" w:val="clear"/>
          </w:tcPr>
          <w:p>
            <w:r>
              <w:rPr>
                <w:b/>
                <w:bCs/>
                <w:color w:val="0F172A"/>
              </w:rPr>
              <w:t xml:space="preserve">Mensaje Pie de Ticket</w:t>
            </w:r>
          </w:p>
        </w:tc>
        <w:tc>
          <w:tcPr>
            <w:tcBorders>
              <w:top w:val="single" w:color="CBD5E1" w:sz="1"/>
              <w:left w:val="single" w:color="CBD5E1" w:sz="1"/>
              <w:bottom w:val="single" w:color="CBD5E1" w:sz="1"/>
              <w:right w:val="single" w:color="CBD5E1" w:sz="1"/>
            </w:tcBorders>
            <w:shd w:fill="F8FAFC" w:val="clear"/>
          </w:tcPr>
          <w:p>
            <w:r>
              <w:rPr>
                <w:color w:val="475569"/>
              </w:rPr>
              <w:t xml:space="preserve">Texto libre (máx 250 car.)</w:t>
            </w:r>
          </w:p>
        </w:tc>
        <w:tc>
          <w:tcPr>
            <w:tcBorders>
              <w:top w:val="single" w:color="CBD5E1" w:sz="1"/>
              <w:left w:val="single" w:color="CBD5E1" w:sz="1"/>
              <w:bottom w:val="single" w:color="CBD5E1" w:sz="1"/>
              <w:right w:val="single" w:color="CBD5E1" w:sz="1"/>
            </w:tcBorders>
            <w:shd w:fill="F8FAFC" w:val="clear"/>
          </w:tcPr>
          <w:p>
            <w:pPr>
              <w:jc w:val="center"/>
            </w:pPr>
            <w:r>
              <w:rPr>
                <w:b w:val="false"/>
                <w:bCs w:val="false"/>
                <w:color w:val="64748B"/>
              </w:rPr>
              <w:t xml:space="preserve">Opcional</w:t>
            </w:r>
          </w:p>
        </w:tc>
        <w:tc>
          <w:tcPr>
            <w:tcBorders>
              <w:top w:val="single" w:color="CBD5E1" w:sz="1"/>
              <w:left w:val="single" w:color="CBD5E1" w:sz="1"/>
              <w:bottom w:val="single" w:color="CBD5E1" w:sz="1"/>
              <w:right w:val="single" w:color="CBD5E1" w:sz="1"/>
            </w:tcBorders>
            <w:shd w:fill="F8FAFC" w:val="clear"/>
          </w:tcPr>
          <w:p>
            <w:r>
              <w:rPr>
                <w:color w:val="1E293B"/>
              </w:rPr>
              <w:t xml:space="preserve">Políticas de cambio, garantías o agradecimientos al final del ticket.</w:t>
            </w:r>
          </w:p>
        </w:tc>
      </w:tr>
      <w:tr>
        <w:tc>
          <w:tcPr>
            <w:tcBorders>
              <w:top w:val="single" w:color="CBD5E1" w:sz="1"/>
              <w:left w:val="single" w:color="CBD5E1" w:sz="1"/>
              <w:bottom w:val="single" w:color="CBD5E1" w:sz="1"/>
              <w:right w:val="single" w:color="CBD5E1" w:sz="1"/>
            </w:tcBorders>
            <w:shd w:fill="FFFFFF" w:val="clear"/>
          </w:tcPr>
          <w:p>
            <w:r>
              <w:rPr>
                <w:b/>
                <w:bCs/>
                <w:color w:val="0F172A"/>
              </w:rPr>
              <w:t xml:space="preserve">Módulo Plan Separe</w:t>
            </w:r>
          </w:p>
        </w:tc>
        <w:tc>
          <w:tcPr>
            <w:tcBorders>
              <w:top w:val="single" w:color="CBD5E1" w:sz="1"/>
              <w:left w:val="single" w:color="CBD5E1" w:sz="1"/>
              <w:bottom w:val="single" w:color="CBD5E1" w:sz="1"/>
              <w:right w:val="single" w:color="CBD5E1" w:sz="1"/>
            </w:tcBorders>
            <w:shd w:fill="FFFFFF" w:val="clear"/>
          </w:tcPr>
          <w:p>
            <w:r>
              <w:rPr>
                <w:color w:val="475569"/>
              </w:rPr>
              <w:t xml:space="preserve">Interruptor Booleano</w:t>
            </w:r>
          </w:p>
        </w:tc>
        <w:tc>
          <w:tcPr>
            <w:tcBorders>
              <w:top w:val="single" w:color="CBD5E1" w:sz="1"/>
              <w:left w:val="single" w:color="CBD5E1" w:sz="1"/>
              <w:bottom w:val="single" w:color="CBD5E1" w:sz="1"/>
              <w:right w:val="single" w:color="CBD5E1" w:sz="1"/>
            </w:tcBorders>
            <w:shd w:fill="FFFFFF" w:val="clear"/>
          </w:tcPr>
          <w:p>
            <w:pPr>
              <w:jc w:val="center"/>
            </w:pPr>
            <w:r>
              <w:rPr>
                <w:b/>
                <w:bCs/>
                <w:color w:val="DC2626"/>
              </w:rPr>
              <w:t xml:space="preserve">SÍ</w:t>
            </w:r>
          </w:p>
        </w:tc>
        <w:tc>
          <w:tcPr>
            <w:tcBorders>
              <w:top w:val="single" w:color="CBD5E1" w:sz="1"/>
              <w:left w:val="single" w:color="CBD5E1" w:sz="1"/>
              <w:bottom w:val="single" w:color="CBD5E1" w:sz="1"/>
              <w:right w:val="single" w:color="CBD5E1" w:sz="1"/>
            </w:tcBorders>
            <w:shd w:fill="FFFFFF" w:val="clear"/>
          </w:tcPr>
          <w:p>
            <w:r>
              <w:rPr>
                <w:color w:val="1E293B"/>
              </w:rPr>
              <w:t xml:space="preserve">Enciende o apaga la visibilidad del módulo de apartados en todo el sistema.</w:t>
            </w:r>
          </w:p>
        </w:tc>
      </w:tr>
      <w:tr>
        <w:tc>
          <w:tcPr>
            <w:tcBorders>
              <w:top w:val="single" w:color="CBD5E1" w:sz="1"/>
              <w:left w:val="single" w:color="CBD5E1" w:sz="1"/>
              <w:bottom w:val="single" w:color="CBD5E1" w:sz="1"/>
              <w:right w:val="single" w:color="CBD5E1" w:sz="1"/>
            </w:tcBorders>
            <w:shd w:fill="F8FAFC" w:val="clear"/>
          </w:tcPr>
          <w:p>
            <w:r>
              <w:rPr>
                <w:b/>
                <w:bCs/>
                <w:color w:val="0F172A"/>
              </w:rPr>
              <w:t xml:space="preserve">Habilitar IVA</w:t>
            </w:r>
          </w:p>
        </w:tc>
        <w:tc>
          <w:tcPr>
            <w:tcBorders>
              <w:top w:val="single" w:color="CBD5E1" w:sz="1"/>
              <w:left w:val="single" w:color="CBD5E1" w:sz="1"/>
              <w:bottom w:val="single" w:color="CBD5E1" w:sz="1"/>
              <w:right w:val="single" w:color="CBD5E1" w:sz="1"/>
            </w:tcBorders>
            <w:shd w:fill="F8FAFC" w:val="clear"/>
          </w:tcPr>
          <w:p>
            <w:r>
              <w:rPr>
                <w:color w:val="475569"/>
              </w:rPr>
              <w:t xml:space="preserve">Interruptor Booleano</w:t>
            </w:r>
          </w:p>
        </w:tc>
        <w:tc>
          <w:tcPr>
            <w:tcBorders>
              <w:top w:val="single" w:color="CBD5E1" w:sz="1"/>
              <w:left w:val="single" w:color="CBD5E1" w:sz="1"/>
              <w:bottom w:val="single" w:color="CBD5E1" w:sz="1"/>
              <w:right w:val="single" w:color="CBD5E1" w:sz="1"/>
            </w:tcBorders>
            <w:shd w:fill="F8FAFC" w:val="clear"/>
          </w:tcPr>
          <w:p>
            <w:pPr>
              <w:jc w:val="center"/>
            </w:pPr>
            <w:r>
              <w:rPr>
                <w:b/>
                <w:bCs/>
                <w:color w:val="DC2626"/>
              </w:rPr>
              <w:t xml:space="preserve">SÍ</w:t>
            </w:r>
          </w:p>
        </w:tc>
        <w:tc>
          <w:tcPr>
            <w:tcBorders>
              <w:top w:val="single" w:color="CBD5E1" w:sz="1"/>
              <w:left w:val="single" w:color="CBD5E1" w:sz="1"/>
              <w:bottom w:val="single" w:color="CBD5E1" w:sz="1"/>
              <w:right w:val="single" w:color="CBD5E1" w:sz="1"/>
            </w:tcBorders>
            <w:shd w:fill="F8FAFC" w:val="clear"/>
          </w:tcPr>
          <w:p>
            <w:r>
              <w:rPr>
                <w:color w:val="1E293B"/>
              </w:rPr>
              <w:t xml:space="preserve">Activa el cálculo y discriminación porcentual del IVA en los cobros.</w:t>
            </w:r>
          </w:p>
        </w:tc>
      </w:tr>
    </w:tbl>
    <w:p>
      <w:pPr>
        <w:pStyle w:val="Heading1"/>
        <w:spacing w:after="120" w:before="280"/>
      </w:pPr>
      <w:r>
        <w:t xml:space="preserve">4. Carga, Recorte y Optimización del Logotipo</w:t>
      </w:r>
    </w:p>
    <w:p>
      <w:r>
        <w:t xml:space="preserve">Fiabono incluye una herramienta interactiva de recorte (ModalAjustarLogo.tsx) que permite centrar el logo del negocio antes de guardarlo. El sistema realiza una optimización gráfica automática para que el logo se imprima nítido en impresoras térmicas de 58mm y 80mm sin empastes negros de tinta, y se visualice con alta resolución en los comprobantes digitales de WhatsApp.</w:t>
      </w:r>
    </w:p>
    <w:p>
      <w:pPr>
        <w:pStyle w:val="Heading1"/>
        <w:spacing w:after="120" w:before="280"/>
      </w:pPr>
      <w:r>
        <w:t xml:space="preserve">5. Configuración de Medios de Pago y Cuentas Bancarias</w:t>
      </w:r>
    </w:p>
    <w:p>
      <w:r>
        <w:t xml:space="preserve">El comerciante puede activar de forma independiente cada canal de recaudo para su local:
</w:t>
      </w:r>
      <w:r>
        <w:rPr>
          <w:b/>
          <w:bCs/>
        </w:rPr>
        <w:t xml:space="preserve">• Efectivo: </w:t>
      </w:r>
      <w:r>
        <w:t xml:space="preserve">Medio activo por defecto para control de billetes y cambio en mostrador.
</w:t>
      </w:r>
      <w:r>
        <w:rPr>
          <w:b/>
          <w:bCs/>
        </w:rPr>
        <w:t xml:space="preserve">• Nequi y Daviplata: </w:t>
      </w:r>
      <w:r>
        <w:t xml:space="preserve">Permite registrar el número de celular del titular, el cual se imprime automáticamente en los tickets.
</w:t>
      </w:r>
      <w:r>
        <w:rPr>
          <w:b/>
          <w:bCs/>
        </w:rPr>
        <w:t xml:space="preserve">• Cuentas Bancolombia / Ahorros: </w:t>
      </w:r>
      <w:r>
        <w:t xml:space="preserve">Permite especificar número de cuenta y tipo para transferencias directas.
</w:t>
      </w:r>
      <w:r>
        <w:rPr>
          <w:b/>
          <w:bCs/>
        </w:rPr>
        <w:t xml:space="preserve">• Datáfono / Tarjetas: </w:t>
      </w:r>
      <w:r>
        <w:t xml:space="preserve">Habilita la recepción de pagos con tarjetas de débito o crédito en caja.</w:t>
      </w:r>
    </w:p>
    <w:p>
      <w:pPr>
        <w:pStyle w:val="Heading1"/>
        <w:spacing w:after="120" w:before="280"/>
      </w:pPr>
      <w:r>
        <w:t xml:space="preserve">6. Respaldo Integral de la Base de Datos</w:t>
      </w:r>
    </w:p>
    <w:p>
      <w:r>
        <w:t xml:space="preserve">En la zona inferior de Ajustes, el Administrador principal tiene a su disposición el botón </w:t>
      </w:r>
      <w:r>
        <w:rPr>
          <w:b/>
          <w:bCs/>
        </w:rPr>
        <w:t xml:space="preserve">[ Descargar Respaldo Completo ]</w:t>
      </w:r>
      <w:r>
        <w:t xml:space="preserve">. Esta función genera un archivo estructurado con todos los productos, clientes, deudas, movimientos y arqueos de caja del negocio, garantizando total soberanía y seguridad sobre la información comercial.</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Capítulo 1: Registro, Onboarding y Configuración | 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FIABONO POS &amp; GESTIÓN DE CARTERA</w:t>
    </w:r>
    <w:r>
      <w:rPr>
        <w:color w:val="64748B"/>
        <w:sz w:val="18"/>
        <w:szCs w:val="18"/>
      </w:rPr>
      <w:t xml:space="preserve"> — MANUAL MAESTRO DE OPERACIONES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Maestro de Fiabono - Capítulo 1</dc:title>
  <dc:creator>Fiabono Cloud System</dc:creator>
  <dc:description>Registro, Onboarding y Configuración del Negocio</dc:description>
  <cp:lastModifiedBy>Un-named</cp:lastModifiedBy>
  <cp:revision>1</cp:revision>
  <dcterms:created xsi:type="dcterms:W3CDTF">2026-10-28T20:06:16.773Z</dcterms:created>
  <dcterms:modified xsi:type="dcterms:W3CDTF">2026-10-28T20:06:16.774Z</dcterms:modified>
</cp:coreProperties>
</file>

<file path=docProps/custom.xml><?xml version="1.0" encoding="utf-8"?>
<Properties xmlns="http://schemas.openxmlformats.org/officeDocument/2006/custom-properties" xmlns:vt="http://schemas.openxmlformats.org/officeDocument/2006/docPropsVTypes"/>
</file>