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81D2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The overall logic should be:</w:t>
      </w:r>
    </w:p>
    <w:p w14:paraId="561F3665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 xml:space="preserve">Define clearly </w:t>
      </w:r>
      <w:r w:rsidRPr="000E2962">
        <w:rPr>
          <w:rFonts w:ascii="Times New Roman" w:hAnsi="Times New Roman" w:cs="Times New Roman"/>
          <w:b/>
          <w:bCs/>
          <w:lang w:val="en-GB"/>
        </w:rPr>
        <w:t>→</w:t>
      </w:r>
      <w:r w:rsidRPr="000E2962">
        <w:rPr>
          <w:rFonts w:ascii="DM Sans" w:hAnsi="DM Sans"/>
          <w:b/>
          <w:bCs/>
          <w:lang w:val="en-GB"/>
        </w:rPr>
        <w:t xml:space="preserve"> build the mobile experience with mock data </w:t>
      </w:r>
      <w:r w:rsidRPr="000E2962">
        <w:rPr>
          <w:rFonts w:ascii="Times New Roman" w:hAnsi="Times New Roman" w:cs="Times New Roman"/>
          <w:b/>
          <w:bCs/>
          <w:lang w:val="en-GB"/>
        </w:rPr>
        <w:t>→</w:t>
      </w:r>
      <w:r w:rsidRPr="000E2962">
        <w:rPr>
          <w:rFonts w:ascii="DM Sans" w:hAnsi="DM Sans"/>
          <w:b/>
          <w:bCs/>
          <w:lang w:val="en-GB"/>
        </w:rPr>
        <w:t xml:space="preserve"> connect real app data </w:t>
      </w:r>
      <w:r w:rsidRPr="000E2962">
        <w:rPr>
          <w:rFonts w:ascii="Times New Roman" w:hAnsi="Times New Roman" w:cs="Times New Roman"/>
          <w:b/>
          <w:bCs/>
          <w:lang w:val="en-GB"/>
        </w:rPr>
        <w:t>→</w:t>
      </w:r>
      <w:r w:rsidRPr="000E2962">
        <w:rPr>
          <w:rFonts w:ascii="DM Sans" w:hAnsi="DM Sans"/>
          <w:b/>
          <w:bCs/>
          <w:lang w:val="en-GB"/>
        </w:rPr>
        <w:t xml:space="preserve"> add backend intelligence </w:t>
      </w:r>
      <w:r w:rsidRPr="000E2962">
        <w:rPr>
          <w:rFonts w:ascii="Times New Roman" w:hAnsi="Times New Roman" w:cs="Times New Roman"/>
          <w:b/>
          <w:bCs/>
          <w:lang w:val="en-GB"/>
        </w:rPr>
        <w:t>→</w:t>
      </w:r>
      <w:r w:rsidRPr="000E2962">
        <w:rPr>
          <w:rFonts w:ascii="DM Sans" w:hAnsi="DM Sans"/>
          <w:b/>
          <w:bCs/>
          <w:lang w:val="en-GB"/>
        </w:rPr>
        <w:t xml:space="preserve"> add notifications </w:t>
      </w:r>
      <w:r w:rsidRPr="000E2962">
        <w:rPr>
          <w:rFonts w:ascii="Times New Roman" w:hAnsi="Times New Roman" w:cs="Times New Roman"/>
          <w:b/>
          <w:bCs/>
          <w:lang w:val="en-GB"/>
        </w:rPr>
        <w:t>→</w:t>
      </w:r>
      <w:r w:rsidRPr="000E2962">
        <w:rPr>
          <w:rFonts w:ascii="DM Sans" w:hAnsi="DM Sans"/>
          <w:b/>
          <w:bCs/>
          <w:lang w:val="en-GB"/>
        </w:rPr>
        <w:t xml:space="preserve"> test usefulness before expanding.</w:t>
      </w:r>
    </w:p>
    <w:p w14:paraId="0676AA1F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Expo is a React Native framework for building Android and iOS apps with file-based routing and native modules, Cursor supports persistent project rules/instructions, and Supabase gives you Postgres, Auth, RLS, and Edge Functions that fit this architecture well. </w:t>
      </w:r>
    </w:p>
    <w:p w14:paraId="11690A2E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74BC5E8">
          <v:rect id="_x0000_i1103" style="width:0;height:1.5pt" o:hralign="center" o:hrstd="t" o:hr="t" fillcolor="#a0a0a0" stroked="f"/>
        </w:pict>
      </w:r>
    </w:p>
    <w:p w14:paraId="05B852EB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0 — Product definition and repo setup</w:t>
      </w:r>
    </w:p>
    <w:p w14:paraId="0B51AA6F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57042C7B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Create a tight foundation so Cursor builds the </w:t>
      </w:r>
      <w:r w:rsidRPr="000E2962">
        <w:rPr>
          <w:rFonts w:ascii="DM Sans" w:hAnsi="DM Sans"/>
          <w:b/>
          <w:bCs/>
          <w:lang w:val="en-GB"/>
        </w:rPr>
        <w:t>right app</w:t>
      </w:r>
      <w:r w:rsidRPr="000E2962">
        <w:rPr>
          <w:rFonts w:ascii="DM Sans" w:hAnsi="DM Sans"/>
          <w:lang w:val="en-GB"/>
        </w:rPr>
        <w:t>, not a generic finance app.</w:t>
      </w:r>
    </w:p>
    <w:p w14:paraId="562B4173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547ABFA7" w14:textId="77777777" w:rsidR="000E2962" w:rsidRPr="000E2962" w:rsidRDefault="000E2962" w:rsidP="000E2962">
      <w:pPr>
        <w:numPr>
          <w:ilvl w:val="0"/>
          <w:numId w:val="2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GitHub</w:t>
      </w:r>
      <w:r w:rsidRPr="000E2962">
        <w:rPr>
          <w:rFonts w:ascii="DM Sans" w:hAnsi="DM Sans"/>
          <w:lang w:val="en-GB"/>
        </w:rPr>
        <w:t xml:space="preserve"> for the repo and version control </w:t>
      </w:r>
    </w:p>
    <w:p w14:paraId="04175292" w14:textId="77777777" w:rsidR="000E2962" w:rsidRPr="000E2962" w:rsidRDefault="000E2962" w:rsidP="000E2962">
      <w:pPr>
        <w:numPr>
          <w:ilvl w:val="0"/>
          <w:numId w:val="2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Cursor</w:t>
      </w:r>
      <w:r w:rsidRPr="000E2962">
        <w:rPr>
          <w:rFonts w:ascii="DM Sans" w:hAnsi="DM Sans"/>
          <w:lang w:val="en-GB"/>
        </w:rPr>
        <w:t xml:space="preserve"> for writing the initial docs and setting persistent project rules; Cursor supports Project, Team, and User Rules plus AGENTS.md-style guidance. </w:t>
      </w:r>
    </w:p>
    <w:p w14:paraId="0DC769E8" w14:textId="77777777" w:rsidR="000E2962" w:rsidRPr="000E2962" w:rsidRDefault="000E2962" w:rsidP="000E2962">
      <w:pPr>
        <w:numPr>
          <w:ilvl w:val="0"/>
          <w:numId w:val="2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Markdown docs in the repo</w:t>
      </w:r>
      <w:r w:rsidRPr="000E2962">
        <w:rPr>
          <w:rFonts w:ascii="DM Sans" w:hAnsi="DM Sans"/>
          <w:lang w:val="en-GB"/>
        </w:rPr>
        <w:t xml:space="preserve"> as the source of truth </w:t>
      </w:r>
    </w:p>
    <w:p w14:paraId="3636ABF8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Create these files first</w:t>
      </w:r>
    </w:p>
    <w:p w14:paraId="6A7015E5" w14:textId="77777777" w:rsidR="000E2962" w:rsidRPr="000E2962" w:rsidRDefault="000E2962" w:rsidP="000E2962">
      <w:pPr>
        <w:numPr>
          <w:ilvl w:val="0"/>
          <w:numId w:val="2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docs/product-thesis.md </w:t>
      </w:r>
    </w:p>
    <w:p w14:paraId="6904D2FF" w14:textId="77777777" w:rsidR="000E2962" w:rsidRPr="000E2962" w:rsidRDefault="000E2962" w:rsidP="000E2962">
      <w:pPr>
        <w:numPr>
          <w:ilvl w:val="0"/>
          <w:numId w:val="2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docs/mvp-scope.md </w:t>
      </w:r>
    </w:p>
    <w:p w14:paraId="791F748C" w14:textId="77777777" w:rsidR="000E2962" w:rsidRPr="000E2962" w:rsidRDefault="000E2962" w:rsidP="000E2962">
      <w:pPr>
        <w:numPr>
          <w:ilvl w:val="0"/>
          <w:numId w:val="2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docs/design-principles.md </w:t>
      </w:r>
    </w:p>
    <w:p w14:paraId="46C71EFD" w14:textId="77777777" w:rsidR="000E2962" w:rsidRPr="000E2962" w:rsidRDefault="000E2962" w:rsidP="000E2962">
      <w:pPr>
        <w:numPr>
          <w:ilvl w:val="0"/>
          <w:numId w:val="2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docs/cursor-rules.md </w:t>
      </w:r>
    </w:p>
    <w:p w14:paraId="5FFC9AC3" w14:textId="77777777" w:rsidR="000E2962" w:rsidRPr="000E2962" w:rsidRDefault="000E2962" w:rsidP="000E2962">
      <w:pPr>
        <w:numPr>
          <w:ilvl w:val="0"/>
          <w:numId w:val="2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README.md </w:t>
      </w:r>
    </w:p>
    <w:p w14:paraId="78CA164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write in them</w:t>
      </w:r>
    </w:p>
    <w:p w14:paraId="7BC5DA7D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product-thesis.md</w:t>
      </w:r>
    </w:p>
    <w:p w14:paraId="705BE3DF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Keep your v2.1 thesis there.</w:t>
      </w:r>
    </w:p>
    <w:p w14:paraId="1041C29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mvp-scope.md</w:t>
      </w:r>
    </w:p>
    <w:p w14:paraId="45D3204D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Include:</w:t>
      </w:r>
    </w:p>
    <w:p w14:paraId="4F8B1711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watchlists </w:t>
      </w:r>
    </w:p>
    <w:p w14:paraId="2600D300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event summaries </w:t>
      </w:r>
    </w:p>
    <w:p w14:paraId="08AB6917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daily digest </w:t>
      </w:r>
    </w:p>
    <w:p w14:paraId="32EB52C6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selective alerts </w:t>
      </w:r>
    </w:p>
    <w:p w14:paraId="08D35159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simple stock detail </w:t>
      </w:r>
    </w:p>
    <w:p w14:paraId="2DE46786" w14:textId="77777777" w:rsidR="000E2962" w:rsidRPr="000E2962" w:rsidRDefault="000E2962" w:rsidP="000E2962">
      <w:pPr>
        <w:numPr>
          <w:ilvl w:val="0"/>
          <w:numId w:val="2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simple trend context </w:t>
      </w:r>
    </w:p>
    <w:p w14:paraId="2E644F41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Exclude:</w:t>
      </w:r>
    </w:p>
    <w:p w14:paraId="594146B4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trading </w:t>
      </w:r>
    </w:p>
    <w:p w14:paraId="38425C48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lastRenderedPageBreak/>
        <w:t xml:space="preserve">broker integration </w:t>
      </w:r>
    </w:p>
    <w:p w14:paraId="64DAF76B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social features </w:t>
      </w:r>
    </w:p>
    <w:p w14:paraId="3F52A5BA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advanced charts </w:t>
      </w:r>
    </w:p>
    <w:p w14:paraId="60ACB2F3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AI chat </w:t>
      </w:r>
    </w:p>
    <w:p w14:paraId="5C5A0112" w14:textId="77777777" w:rsidR="000E2962" w:rsidRPr="000E2962" w:rsidRDefault="000E2962" w:rsidP="000E2962">
      <w:pPr>
        <w:numPr>
          <w:ilvl w:val="0"/>
          <w:numId w:val="2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complex screeners </w:t>
      </w:r>
    </w:p>
    <w:p w14:paraId="03E805D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design-principles.md</w:t>
      </w:r>
    </w:p>
    <w:p w14:paraId="77354EC3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State clearly:</w:t>
      </w:r>
    </w:p>
    <w:p w14:paraId="531B957C" w14:textId="77777777" w:rsidR="000E2962" w:rsidRPr="000E2962" w:rsidRDefault="000E2962" w:rsidP="000E2962">
      <w:pPr>
        <w:numPr>
          <w:ilvl w:val="0"/>
          <w:numId w:val="2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clarity over completeness </w:t>
      </w:r>
    </w:p>
    <w:p w14:paraId="64429F9E" w14:textId="77777777" w:rsidR="000E2962" w:rsidRPr="000E2962" w:rsidRDefault="000E2962" w:rsidP="000E2962">
      <w:pPr>
        <w:numPr>
          <w:ilvl w:val="0"/>
          <w:numId w:val="2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plain language first </w:t>
      </w:r>
    </w:p>
    <w:p w14:paraId="6AF26DFA" w14:textId="77777777" w:rsidR="000E2962" w:rsidRPr="000E2962" w:rsidRDefault="000E2962" w:rsidP="000E2962">
      <w:pPr>
        <w:numPr>
          <w:ilvl w:val="0"/>
          <w:numId w:val="2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minimal cognitive load </w:t>
      </w:r>
    </w:p>
    <w:p w14:paraId="7171FA24" w14:textId="77777777" w:rsidR="000E2962" w:rsidRPr="000E2962" w:rsidRDefault="000E2962" w:rsidP="000E2962">
      <w:pPr>
        <w:numPr>
          <w:ilvl w:val="0"/>
          <w:numId w:val="2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calm mobile-first design </w:t>
      </w:r>
    </w:p>
    <w:p w14:paraId="3C962DB1" w14:textId="77777777" w:rsidR="000E2962" w:rsidRPr="000E2962" w:rsidRDefault="000E2962" w:rsidP="000E2962">
      <w:pPr>
        <w:numPr>
          <w:ilvl w:val="0"/>
          <w:numId w:val="2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no dense trading-terminal UI </w:t>
      </w:r>
    </w:p>
    <w:p w14:paraId="6863A774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cursor-rules.md</w:t>
      </w:r>
    </w:p>
    <w:p w14:paraId="521C0A45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Put explicit implementation constraints there.</w:t>
      </w:r>
    </w:p>
    <w:p w14:paraId="18C2DFF2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to send in Cursor</w:t>
      </w:r>
    </w:p>
    <w:p w14:paraId="07160974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Read the docs folder and help me set up StockClarify correctly.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Context:</w:t>
      </w:r>
      <w:r w:rsidRPr="000E2962">
        <w:rPr>
          <w:rFonts w:ascii="DM Sans" w:hAnsi="DM Sans"/>
          <w:lang w:val="en-GB"/>
        </w:rPr>
        <w:br/>
        <w:t>- StockClarify is a calm, mobile-first investment companion.</w:t>
      </w:r>
      <w:r w:rsidRPr="000E2962">
        <w:rPr>
          <w:rFonts w:ascii="DM Sans" w:hAnsi="DM Sans"/>
          <w:lang w:val="en-GB"/>
        </w:rPr>
        <w:br/>
        <w:t>- The MVP focuses on watchlists, event summaries, daily digest, selective alerts, and simple stock detail.</w:t>
      </w:r>
      <w:r w:rsidRPr="000E2962">
        <w:rPr>
          <w:rFonts w:ascii="DM Sans" w:hAnsi="DM Sans"/>
          <w:lang w:val="en-GB"/>
        </w:rPr>
        <w:br/>
        <w:t>- Do not build trading, brokerage integration, social features, or advanced charting in the first version.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Tasks:</w:t>
      </w:r>
      <w:r w:rsidRPr="000E2962">
        <w:rPr>
          <w:rFonts w:ascii="DM Sans" w:hAnsi="DM Sans"/>
          <w:lang w:val="en-GB"/>
        </w:rPr>
        <w:br/>
        <w:t>1. Review the docs and suggest any contradictions or gaps.</w:t>
      </w:r>
      <w:r w:rsidRPr="000E2962">
        <w:rPr>
          <w:rFonts w:ascii="DM Sans" w:hAnsi="DM Sans"/>
          <w:lang w:val="en-GB"/>
        </w:rPr>
        <w:br/>
        <w:t>2. Propose a clean React Native + Expo + TypeScript folder structure.</w:t>
      </w:r>
      <w:r w:rsidRPr="000E2962">
        <w:rPr>
          <w:rFonts w:ascii="DM Sans" w:hAnsi="DM Sans"/>
          <w:lang w:val="en-GB"/>
        </w:rPr>
        <w:br/>
        <w:t>3. Write a short AGENTS.md or project rules file aligned with the docs.</w:t>
      </w:r>
      <w:r w:rsidRPr="000E2962">
        <w:rPr>
          <w:rFonts w:ascii="DM Sans" w:hAnsi="DM Sans"/>
          <w:lang w:val="en-GB"/>
        </w:rPr>
        <w:br/>
        <w:t>4. Keep recommendations practical and MVP-focused.</w:t>
      </w:r>
    </w:p>
    <w:p w14:paraId="73756601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Important things in this phase</w:t>
      </w:r>
    </w:p>
    <w:p w14:paraId="79D71D69" w14:textId="77777777" w:rsidR="000E2962" w:rsidRPr="000E2962" w:rsidRDefault="000E2962" w:rsidP="000E2962">
      <w:pPr>
        <w:numPr>
          <w:ilvl w:val="0"/>
          <w:numId w:val="2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start coding screens before the scope file is clear. </w:t>
      </w:r>
    </w:p>
    <w:p w14:paraId="4C903875" w14:textId="77777777" w:rsidR="000E2962" w:rsidRPr="000E2962" w:rsidRDefault="000E2962" w:rsidP="000E2962">
      <w:pPr>
        <w:numPr>
          <w:ilvl w:val="0"/>
          <w:numId w:val="2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Decide now what the app is </w:t>
      </w:r>
      <w:r w:rsidRPr="000E2962">
        <w:rPr>
          <w:rFonts w:ascii="DM Sans" w:hAnsi="DM Sans"/>
          <w:b/>
          <w:bCs/>
          <w:lang w:val="en-GB"/>
        </w:rPr>
        <w:t>not</w:t>
      </w:r>
      <w:r w:rsidRPr="000E2962">
        <w:rPr>
          <w:rFonts w:ascii="DM Sans" w:hAnsi="DM Sans"/>
          <w:lang w:val="en-GB"/>
        </w:rPr>
        <w:t xml:space="preserve">. </w:t>
      </w:r>
    </w:p>
    <w:p w14:paraId="53D2CF52" w14:textId="77777777" w:rsidR="000E2962" w:rsidRPr="000E2962" w:rsidRDefault="000E2962" w:rsidP="000E2962">
      <w:pPr>
        <w:numPr>
          <w:ilvl w:val="0"/>
          <w:numId w:val="2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Make Cursor read from repo docs instead of re-explaining the app in every prompt. </w:t>
      </w:r>
    </w:p>
    <w:p w14:paraId="59686F6E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0F42468">
          <v:rect id="_x0000_i1104" style="width:0;height:1.5pt" o:hralign="center" o:hrstd="t" o:hr="t" fillcolor="#a0a0a0" stroked="f"/>
        </w:pict>
      </w:r>
    </w:p>
    <w:p w14:paraId="1687A55B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1 — Bootstrap the mobile app</w:t>
      </w:r>
    </w:p>
    <w:p w14:paraId="6CDF5817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lastRenderedPageBreak/>
        <w:t>Goal</w:t>
      </w:r>
    </w:p>
    <w:p w14:paraId="4F4367DC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Create the actual React Native project and navigation shell.</w:t>
      </w:r>
    </w:p>
    <w:p w14:paraId="67F4465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213BC5F6" w14:textId="77777777" w:rsidR="000E2962" w:rsidRPr="000E2962" w:rsidRDefault="000E2962" w:rsidP="000E2962">
      <w:pPr>
        <w:numPr>
          <w:ilvl w:val="0"/>
          <w:numId w:val="30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Expo</w:t>
      </w:r>
      <w:r w:rsidRPr="000E2962">
        <w:rPr>
          <w:rFonts w:ascii="DM Sans" w:hAnsi="DM Sans"/>
          <w:lang w:val="en-GB"/>
        </w:rPr>
        <w:t xml:space="preserve"> to create the project; Expo recommends create-expo-app, and Expo describes itself as a React Native framework for Android and iOS with file-based routing and native modules. </w:t>
      </w:r>
    </w:p>
    <w:p w14:paraId="0D262AFD" w14:textId="77777777" w:rsidR="000E2962" w:rsidRPr="000E2962" w:rsidRDefault="000E2962" w:rsidP="000E2962">
      <w:pPr>
        <w:numPr>
          <w:ilvl w:val="0"/>
          <w:numId w:val="3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React Native</w:t>
      </w:r>
      <w:r w:rsidRPr="000E2962">
        <w:rPr>
          <w:rFonts w:ascii="DM Sans" w:hAnsi="DM Sans"/>
        </w:rPr>
        <w:t xml:space="preserve"> </w:t>
      </w:r>
    </w:p>
    <w:p w14:paraId="0C4BDD5E" w14:textId="77777777" w:rsidR="000E2962" w:rsidRPr="000E2962" w:rsidRDefault="000E2962" w:rsidP="000E2962">
      <w:pPr>
        <w:numPr>
          <w:ilvl w:val="0"/>
          <w:numId w:val="3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Expo Router</w:t>
      </w:r>
      <w:r w:rsidRPr="000E2962">
        <w:rPr>
          <w:rFonts w:ascii="DM Sans" w:hAnsi="DM Sans"/>
        </w:rPr>
        <w:t xml:space="preserve"> </w:t>
      </w:r>
    </w:p>
    <w:p w14:paraId="55780E21" w14:textId="77777777" w:rsidR="000E2962" w:rsidRPr="000E2962" w:rsidRDefault="000E2962" w:rsidP="000E2962">
      <w:pPr>
        <w:numPr>
          <w:ilvl w:val="0"/>
          <w:numId w:val="3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TypeScript</w:t>
      </w:r>
      <w:r w:rsidRPr="000E2962">
        <w:rPr>
          <w:rFonts w:ascii="DM Sans" w:hAnsi="DM Sans"/>
        </w:rPr>
        <w:t xml:space="preserve"> </w:t>
      </w:r>
    </w:p>
    <w:p w14:paraId="79C2DD8E" w14:textId="77777777" w:rsidR="000E2962" w:rsidRPr="000E2962" w:rsidRDefault="000E2962" w:rsidP="000E2962">
      <w:pPr>
        <w:numPr>
          <w:ilvl w:val="0"/>
          <w:numId w:val="3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Cursor</w:t>
      </w:r>
      <w:r w:rsidRPr="000E2962">
        <w:rPr>
          <w:rFonts w:ascii="DM Sans" w:hAnsi="DM Sans"/>
        </w:rPr>
        <w:t xml:space="preserve"> </w:t>
      </w:r>
    </w:p>
    <w:p w14:paraId="43BA7B0F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do</w:t>
      </w:r>
    </w:p>
    <w:p w14:paraId="640FCCA2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create the app with Expo </w:t>
      </w:r>
    </w:p>
    <w:p w14:paraId="4D2A490E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enable TypeScript </w:t>
      </w:r>
    </w:p>
    <w:p w14:paraId="6A416EA2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set up Expo Router </w:t>
      </w:r>
    </w:p>
    <w:p w14:paraId="6B3E20CE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create the base folder structure </w:t>
      </w:r>
    </w:p>
    <w:p w14:paraId="497D6483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create placeholder tab screens </w:t>
      </w:r>
    </w:p>
    <w:p w14:paraId="6A85E229" w14:textId="77777777" w:rsidR="000E2962" w:rsidRPr="000E2962" w:rsidRDefault="000E2962" w:rsidP="000E2962">
      <w:pPr>
        <w:numPr>
          <w:ilvl w:val="0"/>
          <w:numId w:val="3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define theme constants, spacing, typography, colors </w:t>
      </w:r>
    </w:p>
    <w:p w14:paraId="2D42204E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Commands to run</w:t>
      </w:r>
    </w:p>
    <w:p w14:paraId="5CDE08E8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npx create-expo-app@latest stockclarify</w:t>
      </w:r>
      <w:r w:rsidRPr="000E2962">
        <w:rPr>
          <w:rFonts w:ascii="DM Sans" w:hAnsi="DM Sans"/>
          <w:lang w:val="en-GB"/>
        </w:rPr>
        <w:br/>
        <w:t>cd stockclarify</w:t>
      </w:r>
      <w:r w:rsidRPr="000E2962">
        <w:rPr>
          <w:rFonts w:ascii="DM Sans" w:hAnsi="DM Sans"/>
          <w:lang w:val="en-GB"/>
        </w:rPr>
        <w:br/>
        <w:t>npx expo start</w:t>
      </w:r>
    </w:p>
    <w:p w14:paraId="4D088B71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Expo’s current docs use npx create-expo-app@latest and npx expo start as the standard starting flow. </w:t>
      </w:r>
    </w:p>
    <w:p w14:paraId="5BDA3BC0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to send in Cursor</w:t>
      </w:r>
    </w:p>
    <w:p w14:paraId="5E331C73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Set up the StockClarify app foundation.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Expo + React Native + TypeScript</w:t>
      </w:r>
      <w:r w:rsidRPr="000E2962">
        <w:rPr>
          <w:rFonts w:ascii="DM Sans" w:hAnsi="DM Sans"/>
          <w:lang w:val="en-GB"/>
        </w:rPr>
        <w:br/>
        <w:t>- Expo Router</w:t>
      </w:r>
      <w:r w:rsidRPr="000E2962">
        <w:rPr>
          <w:rFonts w:ascii="DM Sans" w:hAnsi="DM Sans"/>
          <w:lang w:val="en-GB"/>
        </w:rPr>
        <w:br/>
        <w:t>- Create a clean folder structure with app, components, features, lib, store, docs</w:t>
      </w:r>
      <w:r w:rsidRPr="000E2962">
        <w:rPr>
          <w:rFonts w:ascii="DM Sans" w:hAnsi="DM Sans"/>
          <w:lang w:val="en-GB"/>
        </w:rPr>
        <w:br/>
        <w:t>- Add tab screens for Today, Watchlist, Digest, Alerts, Settings</w:t>
      </w:r>
      <w:r w:rsidRPr="000E2962">
        <w:rPr>
          <w:rFonts w:ascii="DM Sans" w:hAnsi="DM Sans"/>
          <w:lang w:val="en-GB"/>
        </w:rPr>
        <w:br/>
        <w:t>- Add placeholder stock detail and onboarding screens</w:t>
      </w:r>
      <w:r w:rsidRPr="000E2962">
        <w:rPr>
          <w:rFonts w:ascii="DM Sans" w:hAnsi="DM Sans"/>
          <w:lang w:val="en-GB"/>
        </w:rPr>
        <w:br/>
        <w:t>- Create a basic theme file with calm colors and spacing</w:t>
      </w:r>
      <w:r w:rsidRPr="000E2962">
        <w:rPr>
          <w:rFonts w:ascii="DM Sans" w:hAnsi="DM Sans"/>
          <w:lang w:val="en-GB"/>
        </w:rPr>
        <w:br/>
        <w:t>- Keep everything minimal and production-friendly</w:t>
      </w:r>
      <w:r w:rsidRPr="000E2962">
        <w:rPr>
          <w:rFonts w:ascii="DM Sans" w:hAnsi="DM Sans"/>
          <w:lang w:val="en-GB"/>
        </w:rPr>
        <w:br/>
        <w:t>- Do not add business logic yet</w:t>
      </w:r>
    </w:p>
    <w:p w14:paraId="69D7509A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lastRenderedPageBreak/>
        <w:t>Important things in this phase</w:t>
      </w:r>
    </w:p>
    <w:p w14:paraId="043C0236" w14:textId="77777777" w:rsidR="000E2962" w:rsidRPr="000E2962" w:rsidRDefault="000E2962" w:rsidP="000E2962">
      <w:pPr>
        <w:numPr>
          <w:ilvl w:val="0"/>
          <w:numId w:val="3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Keep the app shell boring and clean. </w:t>
      </w:r>
    </w:p>
    <w:p w14:paraId="0D2D7211" w14:textId="77777777" w:rsidR="000E2962" w:rsidRPr="000E2962" w:rsidRDefault="000E2962" w:rsidP="000E2962">
      <w:pPr>
        <w:numPr>
          <w:ilvl w:val="0"/>
          <w:numId w:val="3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wire real data yet. </w:t>
      </w:r>
    </w:p>
    <w:p w14:paraId="237D9C3E" w14:textId="77777777" w:rsidR="000E2962" w:rsidRPr="000E2962" w:rsidRDefault="000E2962" w:rsidP="000E2962">
      <w:pPr>
        <w:numPr>
          <w:ilvl w:val="0"/>
          <w:numId w:val="3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spend time on charts yet. </w:t>
      </w:r>
    </w:p>
    <w:p w14:paraId="24DFB47E" w14:textId="77777777" w:rsidR="000E2962" w:rsidRPr="000E2962" w:rsidRDefault="000E2962" w:rsidP="000E2962">
      <w:pPr>
        <w:numPr>
          <w:ilvl w:val="0"/>
          <w:numId w:val="3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Build for navigability and structure first. </w:t>
      </w:r>
    </w:p>
    <w:p w14:paraId="351C0191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51257C6D">
          <v:rect id="_x0000_i1105" style="width:0;height:1.5pt" o:hralign="center" o:hrstd="t" o:hr="t" fillcolor="#a0a0a0" stroked="f"/>
        </w:pict>
      </w:r>
    </w:p>
    <w:p w14:paraId="0E74EF92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2 — Mock the full app experience first</w:t>
      </w:r>
    </w:p>
    <w:p w14:paraId="371769FD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1849E05C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Validate the UX before building the data engine.</w:t>
      </w:r>
    </w:p>
    <w:p w14:paraId="6530EDE8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2123B7DF" w14:textId="77777777" w:rsidR="000E2962" w:rsidRPr="000E2962" w:rsidRDefault="000E2962" w:rsidP="000E2962">
      <w:pPr>
        <w:numPr>
          <w:ilvl w:val="0"/>
          <w:numId w:val="33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Cursor</w:t>
      </w:r>
      <w:r w:rsidRPr="000E2962">
        <w:rPr>
          <w:rFonts w:ascii="DM Sans" w:hAnsi="DM Sans"/>
        </w:rPr>
        <w:t xml:space="preserve"> </w:t>
      </w:r>
    </w:p>
    <w:p w14:paraId="7251B0A3" w14:textId="77777777" w:rsidR="000E2962" w:rsidRPr="000E2962" w:rsidRDefault="000E2962" w:rsidP="000E2962">
      <w:pPr>
        <w:numPr>
          <w:ilvl w:val="0"/>
          <w:numId w:val="33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Expo Go / local Expo dev flow</w:t>
      </w:r>
      <w:r w:rsidRPr="000E2962">
        <w:rPr>
          <w:rFonts w:ascii="DM Sans" w:hAnsi="DM Sans"/>
          <w:lang w:val="en-GB"/>
        </w:rPr>
        <w:t xml:space="preserve"> for quick feedback; Expo’s standard development loop is npx expo start and previewing changes on device. </w:t>
      </w:r>
    </w:p>
    <w:p w14:paraId="42F25A1F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What to build with fake data</w:t>
      </w:r>
    </w:p>
    <w:p w14:paraId="6678294E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onboarding </w:t>
      </w:r>
    </w:p>
    <w:p w14:paraId="2AD59192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Today screen </w:t>
      </w:r>
    </w:p>
    <w:p w14:paraId="5E3E47A8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Watchlist screen </w:t>
      </w:r>
    </w:p>
    <w:p w14:paraId="164FEC06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Stock detail screen </w:t>
      </w:r>
    </w:p>
    <w:p w14:paraId="131E5C8D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Daily digest screen </w:t>
      </w:r>
    </w:p>
    <w:p w14:paraId="0ED153CF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Alerts screen </w:t>
      </w:r>
    </w:p>
    <w:p w14:paraId="0F88E3B9" w14:textId="77777777" w:rsidR="000E2962" w:rsidRPr="000E2962" w:rsidRDefault="000E2962" w:rsidP="000E2962">
      <w:pPr>
        <w:numPr>
          <w:ilvl w:val="0"/>
          <w:numId w:val="3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Settings screen </w:t>
      </w:r>
    </w:p>
    <w:p w14:paraId="1194FA8A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fake</w:t>
      </w:r>
    </w:p>
    <w:p w14:paraId="1B5C3ACE" w14:textId="77777777" w:rsidR="000E2962" w:rsidRPr="000E2962" w:rsidRDefault="000E2962" w:rsidP="000E2962">
      <w:pPr>
        <w:numPr>
          <w:ilvl w:val="0"/>
          <w:numId w:val="3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stock prices </w:t>
      </w:r>
    </w:p>
    <w:p w14:paraId="3C48ACEE" w14:textId="77777777" w:rsidR="000E2962" w:rsidRPr="000E2962" w:rsidRDefault="000E2962" w:rsidP="000E2962">
      <w:pPr>
        <w:numPr>
          <w:ilvl w:val="0"/>
          <w:numId w:val="3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event summaries </w:t>
      </w:r>
    </w:p>
    <w:p w14:paraId="4B1EF3DD" w14:textId="77777777" w:rsidR="000E2962" w:rsidRPr="000E2962" w:rsidRDefault="000E2962" w:rsidP="000E2962">
      <w:pPr>
        <w:numPr>
          <w:ilvl w:val="0"/>
          <w:numId w:val="3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digest items </w:t>
      </w:r>
    </w:p>
    <w:p w14:paraId="7D7E311C" w14:textId="77777777" w:rsidR="000E2962" w:rsidRPr="000E2962" w:rsidRDefault="000E2962" w:rsidP="000E2962">
      <w:pPr>
        <w:numPr>
          <w:ilvl w:val="0"/>
          <w:numId w:val="3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trend data </w:t>
      </w:r>
    </w:p>
    <w:p w14:paraId="6D2EF87A" w14:textId="77777777" w:rsidR="000E2962" w:rsidRPr="000E2962" w:rsidRDefault="000E2962" w:rsidP="000E2962">
      <w:pPr>
        <w:numPr>
          <w:ilvl w:val="0"/>
          <w:numId w:val="3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alert examples </w:t>
      </w:r>
    </w:p>
    <w:p w14:paraId="3DFF6385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0999C142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Build the Watchlist screen for StockClarify using mocked data.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React Native + TypeScript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lastRenderedPageBreak/>
        <w:t>- Show a scrollable list of watched stocks</w:t>
      </w:r>
      <w:r w:rsidRPr="000E2962">
        <w:rPr>
          <w:rFonts w:ascii="DM Sans" w:hAnsi="DM Sans"/>
          <w:lang w:val="en-GB"/>
        </w:rPr>
        <w:br/>
        <w:t>- Each row shows ticker, company name, current price, daily % move, and one short status tag</w:t>
      </w:r>
      <w:r w:rsidRPr="000E2962">
        <w:rPr>
          <w:rFonts w:ascii="DM Sans" w:hAnsi="DM Sans"/>
          <w:lang w:val="en-GB"/>
        </w:rPr>
        <w:br/>
        <w:t>- Tapping a row opens the stock detail screen</w:t>
      </w:r>
      <w:r w:rsidRPr="000E2962">
        <w:rPr>
          <w:rFonts w:ascii="DM Sans" w:hAnsi="DM Sans"/>
          <w:lang w:val="en-GB"/>
        </w:rPr>
        <w:br/>
        <w:t>- Include an empty state if the watchlist is empty</w:t>
      </w:r>
      <w:r w:rsidRPr="000E2962">
        <w:rPr>
          <w:rFonts w:ascii="DM Sans" w:hAnsi="DM Sans"/>
          <w:lang w:val="en-GB"/>
        </w:rPr>
        <w:br/>
        <w:t>- Visual style should feel calm, minimal, and mobile-first</w:t>
      </w:r>
      <w:r w:rsidRPr="000E2962">
        <w:rPr>
          <w:rFonts w:ascii="DM Sans" w:hAnsi="DM Sans"/>
          <w:lang w:val="en-GB"/>
        </w:rPr>
        <w:br/>
        <w:t>- Do not add advanced charts or dense metrics</w:t>
      </w:r>
    </w:p>
    <w:p w14:paraId="6A97AF94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for the Today screen</w:t>
      </w:r>
    </w:p>
    <w:p w14:paraId="5837C038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Build the Today screen for StockClarify using mocked data.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Purpose:</w:t>
      </w:r>
      <w:r w:rsidRPr="000E2962">
        <w:rPr>
          <w:rFonts w:ascii="DM Sans" w:hAnsi="DM Sans"/>
          <w:lang w:val="en-GB"/>
        </w:rPr>
        <w:br/>
        <w:t>This screen should answer: "What matters today for the stocks I follow?"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Include:</w:t>
      </w:r>
      <w:r w:rsidRPr="000E2962">
        <w:rPr>
          <w:rFonts w:ascii="DM Sans" w:hAnsi="DM Sans"/>
          <w:lang w:val="en-GB"/>
        </w:rPr>
        <w:br/>
        <w:t>- top development card</w:t>
      </w:r>
      <w:r w:rsidRPr="000E2962">
        <w:rPr>
          <w:rFonts w:ascii="DM Sans" w:hAnsi="DM Sans"/>
          <w:lang w:val="en-GB"/>
        </w:rPr>
        <w:br/>
        <w:t>- short digest preview</w:t>
      </w:r>
      <w:r w:rsidRPr="000E2962">
        <w:rPr>
          <w:rFonts w:ascii="DM Sans" w:hAnsi="DM Sans"/>
          <w:lang w:val="en-GB"/>
        </w:rPr>
        <w:br/>
        <w:t>- biggest relevant move</w:t>
      </w:r>
      <w:r w:rsidRPr="000E2962">
        <w:rPr>
          <w:rFonts w:ascii="DM Sans" w:hAnsi="DM Sans"/>
          <w:lang w:val="en-GB"/>
        </w:rPr>
        <w:br/>
        <w:t>- upcoming event preview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Keep it simple, scannable, and calm.</w:t>
      </w:r>
      <w:r w:rsidRPr="000E2962">
        <w:rPr>
          <w:rFonts w:ascii="DM Sans" w:hAnsi="DM Sans"/>
          <w:lang w:val="en-GB"/>
        </w:rPr>
        <w:br/>
        <w:t>Do not create a trading dashboard.</w:t>
      </w:r>
    </w:p>
    <w:p w14:paraId="6DD5FD0E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Important things in this phase</w:t>
      </w:r>
    </w:p>
    <w:p w14:paraId="455A04B0" w14:textId="77777777" w:rsidR="000E2962" w:rsidRPr="000E2962" w:rsidRDefault="000E2962" w:rsidP="000E2962">
      <w:pPr>
        <w:numPr>
          <w:ilvl w:val="0"/>
          <w:numId w:val="36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This phase is about </w:t>
      </w:r>
      <w:r w:rsidRPr="000E2962">
        <w:rPr>
          <w:rFonts w:ascii="DM Sans" w:hAnsi="DM Sans"/>
          <w:b/>
          <w:bCs/>
          <w:lang w:val="en-GB"/>
        </w:rPr>
        <w:t>information design</w:t>
      </w:r>
      <w:r w:rsidRPr="000E2962">
        <w:rPr>
          <w:rFonts w:ascii="DM Sans" w:hAnsi="DM Sans"/>
          <w:lang w:val="en-GB"/>
        </w:rPr>
        <w:t xml:space="preserve">, not infrastructure. </w:t>
      </w:r>
    </w:p>
    <w:p w14:paraId="29729E7E" w14:textId="77777777" w:rsidR="000E2962" w:rsidRPr="000E2962" w:rsidRDefault="000E2962" w:rsidP="000E2962">
      <w:pPr>
        <w:numPr>
          <w:ilvl w:val="0"/>
          <w:numId w:val="36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Read every screen as if you were a user checking the app for 30 seconds. </w:t>
      </w:r>
    </w:p>
    <w:p w14:paraId="2D371759" w14:textId="77777777" w:rsidR="000E2962" w:rsidRPr="000E2962" w:rsidRDefault="000E2962" w:rsidP="000E2962">
      <w:pPr>
        <w:numPr>
          <w:ilvl w:val="0"/>
          <w:numId w:val="36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Remove anything that feels noisy or too “trader-like.” </w:t>
      </w:r>
    </w:p>
    <w:p w14:paraId="3587876D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62348DA">
          <v:rect id="_x0000_i1106" style="width:0;height:1.5pt" o:hralign="center" o:hrstd="t" o:hr="t" fillcolor="#a0a0a0" stroked="f"/>
        </w:pict>
      </w:r>
    </w:p>
    <w:p w14:paraId="2B632F20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3 — Set up Supabase core backend</w:t>
      </w:r>
    </w:p>
    <w:p w14:paraId="17139FE4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66E9A952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Make the app real for users: auth, watchlists, preferences, persistence.</w:t>
      </w:r>
    </w:p>
    <w:p w14:paraId="2D11912C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15FB0B6B" w14:textId="77777777" w:rsidR="000E2962" w:rsidRPr="000E2962" w:rsidRDefault="000E2962" w:rsidP="000E2962">
      <w:pPr>
        <w:numPr>
          <w:ilvl w:val="0"/>
          <w:numId w:val="37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Supabase Auth</w:t>
      </w:r>
      <w:r w:rsidRPr="000E2962">
        <w:rPr>
          <w:rFonts w:ascii="DM Sans" w:hAnsi="DM Sans"/>
        </w:rPr>
        <w:t xml:space="preserve"> </w:t>
      </w:r>
    </w:p>
    <w:p w14:paraId="5AF1D7D1" w14:textId="77777777" w:rsidR="000E2962" w:rsidRPr="000E2962" w:rsidRDefault="000E2962" w:rsidP="000E2962">
      <w:pPr>
        <w:numPr>
          <w:ilvl w:val="0"/>
          <w:numId w:val="37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Supabase Postgres</w:t>
      </w:r>
      <w:r w:rsidRPr="000E2962">
        <w:rPr>
          <w:rFonts w:ascii="DM Sans" w:hAnsi="DM Sans"/>
        </w:rPr>
        <w:t xml:space="preserve"> </w:t>
      </w:r>
    </w:p>
    <w:p w14:paraId="0AF165DD" w14:textId="77777777" w:rsidR="000E2962" w:rsidRPr="000E2962" w:rsidRDefault="000E2962" w:rsidP="000E2962">
      <w:pPr>
        <w:numPr>
          <w:ilvl w:val="0"/>
          <w:numId w:val="37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Supabase Row Level Security</w:t>
      </w:r>
      <w:r w:rsidRPr="000E2962">
        <w:rPr>
          <w:rFonts w:ascii="DM Sans" w:hAnsi="DM Sans"/>
        </w:rPr>
        <w:t xml:space="preserve"> </w:t>
      </w:r>
    </w:p>
    <w:p w14:paraId="69DD8934" w14:textId="77777777" w:rsidR="000E2962" w:rsidRPr="000E2962" w:rsidRDefault="000E2962" w:rsidP="000E2962">
      <w:pPr>
        <w:numPr>
          <w:ilvl w:val="0"/>
          <w:numId w:val="3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optionally </w:t>
      </w:r>
      <w:r w:rsidRPr="000E2962">
        <w:rPr>
          <w:rFonts w:ascii="DM Sans" w:hAnsi="DM Sans"/>
          <w:b/>
          <w:bCs/>
        </w:rPr>
        <w:t>Supabase Edge Functions</w:t>
      </w:r>
      <w:r w:rsidRPr="000E2962">
        <w:rPr>
          <w:rFonts w:ascii="DM Sans" w:hAnsi="DM Sans"/>
        </w:rPr>
        <w:t xml:space="preserve"> </w:t>
      </w:r>
    </w:p>
    <w:p w14:paraId="72E57963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Supabase documents Auth, Postgres, Storage, Realtime, and Edge Functions as core platform features, and recommends combining Auth with Row Level Security for end-to-end user security. Supabase also notes that supabase-js is the recommended approach for most </w:t>
      </w:r>
      <w:r w:rsidRPr="000E2962">
        <w:rPr>
          <w:rFonts w:ascii="DM Sans" w:hAnsi="DM Sans"/>
          <w:lang w:val="en-GB"/>
        </w:rPr>
        <w:lastRenderedPageBreak/>
        <w:t xml:space="preserve">applications, and that the browser-safe anon key is used with RLS enabled while the service role key must never be used in the browser. </w:t>
      </w:r>
    </w:p>
    <w:p w14:paraId="686EC193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implement now</w:t>
      </w:r>
    </w:p>
    <w:p w14:paraId="7C0512EB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sign up / sign in </w:t>
      </w:r>
    </w:p>
    <w:p w14:paraId="69B3BE80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profile row </w:t>
      </w:r>
    </w:p>
    <w:p w14:paraId="2FA01B87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watchlists </w:t>
      </w:r>
    </w:p>
    <w:p w14:paraId="2C4CDA84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watchlist stocks </w:t>
      </w:r>
    </w:p>
    <w:p w14:paraId="1B67D6F1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notification preferences </w:t>
      </w:r>
    </w:p>
    <w:p w14:paraId="79AD9EFC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device token table </w:t>
      </w:r>
    </w:p>
    <w:p w14:paraId="14B915AC" w14:textId="77777777" w:rsidR="000E2962" w:rsidRPr="000E2962" w:rsidRDefault="000E2962" w:rsidP="000E2962">
      <w:pPr>
        <w:numPr>
          <w:ilvl w:val="0"/>
          <w:numId w:val="3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RLS policies </w:t>
      </w:r>
    </w:p>
    <w:p w14:paraId="1B811F2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439519CC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Set up the Supabase integration for StockClarify.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Add Supabase client configuration for Expo</w:t>
      </w:r>
      <w:r w:rsidRPr="000E2962">
        <w:rPr>
          <w:rFonts w:ascii="DM Sans" w:hAnsi="DM Sans"/>
          <w:lang w:val="en-GB"/>
        </w:rPr>
        <w:br/>
        <w:t>- Create typed service files for auth, profiles, watchlists, watchlist stocks, and notification preferences</w:t>
      </w:r>
      <w:r w:rsidRPr="000E2962">
        <w:rPr>
          <w:rFonts w:ascii="DM Sans" w:hAnsi="DM Sans"/>
          <w:lang w:val="en-GB"/>
        </w:rPr>
        <w:br/>
        <w:t>- Use clear TypeScript types</w:t>
      </w:r>
      <w:r w:rsidRPr="000E2962">
        <w:rPr>
          <w:rFonts w:ascii="DM Sans" w:hAnsi="DM Sans"/>
          <w:lang w:val="en-GB"/>
        </w:rPr>
        <w:br/>
        <w:t>- Keep user-specific data separated from market/event data</w:t>
      </w:r>
      <w:r w:rsidRPr="000E2962">
        <w:rPr>
          <w:rFonts w:ascii="DM Sans" w:hAnsi="DM Sans"/>
          <w:lang w:val="en-GB"/>
        </w:rPr>
        <w:br/>
        <w:t>- Prepare for Row Level Security</w:t>
      </w:r>
      <w:r w:rsidRPr="000E2962">
        <w:rPr>
          <w:rFonts w:ascii="DM Sans" w:hAnsi="DM Sans"/>
          <w:lang w:val="en-GB"/>
        </w:rPr>
        <w:br/>
        <w:t>- Do not use the service role key in the mobile app</w:t>
      </w:r>
    </w:p>
    <w:p w14:paraId="4A0B7FE6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for SQL schema generation</w:t>
      </w:r>
    </w:p>
    <w:p w14:paraId="36367DC3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Generate Supabase SQL migrations for the StockClarify MVP.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Tables:</w:t>
      </w:r>
      <w:r w:rsidRPr="000E2962">
        <w:rPr>
          <w:rFonts w:ascii="DM Sans" w:hAnsi="DM Sans"/>
          <w:lang w:val="en-GB"/>
        </w:rPr>
        <w:br/>
        <w:t>- profiles</w:t>
      </w:r>
      <w:r w:rsidRPr="000E2962">
        <w:rPr>
          <w:rFonts w:ascii="DM Sans" w:hAnsi="DM Sans"/>
          <w:lang w:val="en-GB"/>
        </w:rPr>
        <w:br/>
        <w:t>- watchlists</w:t>
      </w:r>
      <w:r w:rsidRPr="000E2962">
        <w:rPr>
          <w:rFonts w:ascii="DM Sans" w:hAnsi="DM Sans"/>
          <w:lang w:val="en-GB"/>
        </w:rPr>
        <w:br/>
        <w:t>- watchlist_stocks</w:t>
      </w:r>
      <w:r w:rsidRPr="000E2962">
        <w:rPr>
          <w:rFonts w:ascii="DM Sans" w:hAnsi="DM Sans"/>
          <w:lang w:val="en-GB"/>
        </w:rPr>
        <w:br/>
        <w:t>- notification_preferences</w:t>
      </w:r>
      <w:r w:rsidRPr="000E2962">
        <w:rPr>
          <w:rFonts w:ascii="DM Sans" w:hAnsi="DM Sans"/>
          <w:lang w:val="en-GB"/>
        </w:rPr>
        <w:br/>
        <w:t>- device_tokens</w:t>
      </w:r>
      <w:r w:rsidRPr="000E2962">
        <w:rPr>
          <w:rFonts w:ascii="DM Sans" w:hAnsi="DM Sans"/>
          <w:lang w:val="en-GB"/>
        </w:rPr>
        <w:br/>
        <w:t>- stocks</w:t>
      </w:r>
      <w:r w:rsidRPr="000E2962">
        <w:rPr>
          <w:rFonts w:ascii="DM Sans" w:hAnsi="DM Sans"/>
          <w:lang w:val="en-GB"/>
        </w:rPr>
        <w:br/>
        <w:t>- stock_events</w:t>
      </w:r>
      <w:r w:rsidRPr="000E2962">
        <w:rPr>
          <w:rFonts w:ascii="DM Sans" w:hAnsi="DM Sans"/>
          <w:lang w:val="en-GB"/>
        </w:rPr>
        <w:br/>
        <w:t>- stock_price_snapshots</w:t>
      </w:r>
      <w:r w:rsidRPr="000E2962">
        <w:rPr>
          <w:rFonts w:ascii="DM Sans" w:hAnsi="DM Sans"/>
          <w:lang w:val="en-GB"/>
        </w:rPr>
        <w:br/>
        <w:t>- daily_digests</w:t>
      </w:r>
      <w:r w:rsidRPr="000E2962">
        <w:rPr>
          <w:rFonts w:ascii="DM Sans" w:hAnsi="DM Sans"/>
          <w:lang w:val="en-GB"/>
        </w:rPr>
        <w:br/>
        <w:t>- daily_digest_items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Also:</w:t>
      </w:r>
      <w:r w:rsidRPr="000E2962">
        <w:rPr>
          <w:rFonts w:ascii="DM Sans" w:hAnsi="DM Sans"/>
          <w:lang w:val="en-GB"/>
        </w:rPr>
        <w:br/>
        <w:t>- add sensible indexes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lastRenderedPageBreak/>
        <w:t>- add created_at fields</w:t>
      </w:r>
      <w:r w:rsidRPr="000E2962">
        <w:rPr>
          <w:rFonts w:ascii="DM Sans" w:hAnsi="DM Sans"/>
          <w:lang w:val="en-GB"/>
        </w:rPr>
        <w:br/>
        <w:t>- add foreign keys</w:t>
      </w:r>
      <w:r w:rsidRPr="000E2962">
        <w:rPr>
          <w:rFonts w:ascii="DM Sans" w:hAnsi="DM Sans"/>
          <w:lang w:val="en-GB"/>
        </w:rPr>
        <w:br/>
        <w:t>- write basic Row Level Security policies so users can only access their own profiles, watchlists, preferences, digests, and device tokens</w:t>
      </w:r>
    </w:p>
    <w:p w14:paraId="63836832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Important things in this phase</w:t>
      </w:r>
    </w:p>
    <w:p w14:paraId="43413582" w14:textId="77777777" w:rsidR="000E2962" w:rsidRPr="000E2962" w:rsidRDefault="000E2962" w:rsidP="000E2962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Keep market tables and user tables conceptually separate. </w:t>
      </w:r>
    </w:p>
    <w:p w14:paraId="37AE92EB" w14:textId="77777777" w:rsidR="000E2962" w:rsidRPr="000E2962" w:rsidRDefault="000E2962" w:rsidP="000E2962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Use RLS from the beginning, not later. Supabase explicitly frames RLS as defense in depth and a key part of secure browser/client access. </w:t>
      </w:r>
    </w:p>
    <w:p w14:paraId="3F472148" w14:textId="77777777" w:rsidR="000E2962" w:rsidRPr="000E2962" w:rsidRDefault="000E2962" w:rsidP="000E2962">
      <w:pPr>
        <w:numPr>
          <w:ilvl w:val="0"/>
          <w:numId w:val="3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put admin secrets into the app. </w:t>
      </w:r>
    </w:p>
    <w:p w14:paraId="26D48DD1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32AE9236">
          <v:rect id="_x0000_i1107" style="width:0;height:1.5pt" o:hralign="center" o:hrstd="t" o:hr="t" fillcolor="#a0a0a0" stroked="f"/>
        </w:pict>
      </w:r>
    </w:p>
    <w:p w14:paraId="4351496B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4 — Connect the mocked UI to real user data</w:t>
      </w:r>
    </w:p>
    <w:p w14:paraId="207A5415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0FF864AD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Make the app feel real even before live market intelligence is added.</w:t>
      </w:r>
    </w:p>
    <w:p w14:paraId="473AF96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3C7F5D08" w14:textId="77777777" w:rsidR="000E2962" w:rsidRPr="000E2962" w:rsidRDefault="000E2962" w:rsidP="000E2962">
      <w:pPr>
        <w:numPr>
          <w:ilvl w:val="0"/>
          <w:numId w:val="4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Supabase client</w:t>
      </w:r>
      <w:r w:rsidRPr="000E2962">
        <w:rPr>
          <w:rFonts w:ascii="DM Sans" w:hAnsi="DM Sans"/>
        </w:rPr>
        <w:t xml:space="preserve"> </w:t>
      </w:r>
    </w:p>
    <w:p w14:paraId="7D20C99A" w14:textId="77777777" w:rsidR="000E2962" w:rsidRPr="000E2962" w:rsidRDefault="000E2962" w:rsidP="000E2962">
      <w:pPr>
        <w:numPr>
          <w:ilvl w:val="0"/>
          <w:numId w:val="4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TanStack Query / React Query</w:t>
      </w:r>
      <w:r w:rsidRPr="000E2962">
        <w:rPr>
          <w:rFonts w:ascii="DM Sans" w:hAnsi="DM Sans"/>
        </w:rPr>
        <w:t xml:space="preserve"> </w:t>
      </w:r>
    </w:p>
    <w:p w14:paraId="6DE32702" w14:textId="77777777" w:rsidR="000E2962" w:rsidRPr="000E2962" w:rsidRDefault="000E2962" w:rsidP="000E2962">
      <w:pPr>
        <w:numPr>
          <w:ilvl w:val="0"/>
          <w:numId w:val="40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Zustand</w:t>
      </w:r>
      <w:r w:rsidRPr="000E2962">
        <w:rPr>
          <w:rFonts w:ascii="DM Sans" w:hAnsi="DM Sans"/>
          <w:lang w:val="en-GB"/>
        </w:rPr>
        <w:t xml:space="preserve"> for local UI/session state </w:t>
      </w:r>
    </w:p>
    <w:p w14:paraId="3E5C608D" w14:textId="77777777" w:rsidR="000E2962" w:rsidRPr="000E2962" w:rsidRDefault="000E2962" w:rsidP="000E2962">
      <w:pPr>
        <w:numPr>
          <w:ilvl w:val="0"/>
          <w:numId w:val="4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Cursor</w:t>
      </w:r>
      <w:r w:rsidRPr="000E2962">
        <w:rPr>
          <w:rFonts w:ascii="DM Sans" w:hAnsi="DM Sans"/>
        </w:rPr>
        <w:t xml:space="preserve"> </w:t>
      </w:r>
    </w:p>
    <w:p w14:paraId="78F0DF8E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implement</w:t>
      </w:r>
    </w:p>
    <w:p w14:paraId="4BBD3EB9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create watchlist </w:t>
      </w:r>
    </w:p>
    <w:p w14:paraId="361C2E07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add/remove stock manually </w:t>
      </w:r>
    </w:p>
    <w:p w14:paraId="721E8ED1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save preferences </w:t>
      </w:r>
    </w:p>
    <w:p w14:paraId="1959E4AF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load user’s watchlists </w:t>
      </w:r>
    </w:p>
    <w:p w14:paraId="28A6D1B0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load placeholder digest/event records from DB </w:t>
      </w:r>
    </w:p>
    <w:p w14:paraId="22C704B0" w14:textId="77777777" w:rsidR="000E2962" w:rsidRPr="000E2962" w:rsidRDefault="000E2962" w:rsidP="000E2962">
      <w:pPr>
        <w:numPr>
          <w:ilvl w:val="0"/>
          <w:numId w:val="4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persist onboarding completion </w:t>
      </w:r>
    </w:p>
    <w:p w14:paraId="480B8CCF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7E25B5DD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Connect the Watchlist and Settings screens to real Supabase data.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Use React Query for server data fetching and caching</w:t>
      </w:r>
      <w:r w:rsidRPr="000E2962">
        <w:rPr>
          <w:rFonts w:ascii="DM Sans" w:hAnsi="DM Sans"/>
          <w:lang w:val="en-GB"/>
        </w:rPr>
        <w:br/>
        <w:t>- Use typed hooks inside feature folders</w:t>
      </w:r>
      <w:r w:rsidRPr="000E2962">
        <w:rPr>
          <w:rFonts w:ascii="DM Sans" w:hAnsi="DM Sans"/>
          <w:lang w:val="en-GB"/>
        </w:rPr>
        <w:br/>
        <w:t>- Support loading, error, empty, and success states</w:t>
      </w:r>
      <w:r w:rsidRPr="000E2962">
        <w:rPr>
          <w:rFonts w:ascii="DM Sans" w:hAnsi="DM Sans"/>
          <w:lang w:val="en-GB"/>
        </w:rPr>
        <w:br/>
        <w:t>- Keep the UX simple and calm</w:t>
      </w:r>
      <w:r w:rsidRPr="000E2962">
        <w:rPr>
          <w:rFonts w:ascii="DM Sans" w:hAnsi="DM Sans"/>
          <w:lang w:val="en-GB"/>
        </w:rPr>
        <w:br/>
        <w:t>- Avoid overengineering</w:t>
      </w:r>
    </w:p>
    <w:p w14:paraId="07BEE93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lastRenderedPageBreak/>
        <w:t>Important things in this phase</w:t>
      </w:r>
    </w:p>
    <w:p w14:paraId="42063F58" w14:textId="77777777" w:rsidR="000E2962" w:rsidRPr="000E2962" w:rsidRDefault="000E2962" w:rsidP="000E2962">
      <w:pPr>
        <w:numPr>
          <w:ilvl w:val="0"/>
          <w:numId w:val="4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You still do not need live market data yet. </w:t>
      </w:r>
    </w:p>
    <w:p w14:paraId="04B8F4AE" w14:textId="77777777" w:rsidR="000E2962" w:rsidRPr="000E2962" w:rsidRDefault="000E2962" w:rsidP="000E2962">
      <w:pPr>
        <w:numPr>
          <w:ilvl w:val="0"/>
          <w:numId w:val="4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You can seed stocks, stock_events, and daily_digests manually for testing. </w:t>
      </w:r>
    </w:p>
    <w:p w14:paraId="468F654B" w14:textId="77777777" w:rsidR="000E2962" w:rsidRPr="000E2962" w:rsidRDefault="000E2962" w:rsidP="000E2962">
      <w:pPr>
        <w:numPr>
          <w:ilvl w:val="0"/>
          <w:numId w:val="42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The win here is proving the app flow, not the intelligence engine. </w:t>
      </w:r>
    </w:p>
    <w:p w14:paraId="062DBCED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6E2BF23D">
          <v:rect id="_x0000_i1108" style="width:0;height:1.5pt" o:hralign="center" o:hrstd="t" o:hr="t" fillcolor="#a0a0a0" stroked="f"/>
        </w:pict>
      </w:r>
    </w:p>
    <w:p w14:paraId="23B578F0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5 — Build the worker service for market/event processing</w:t>
      </w:r>
    </w:p>
    <w:p w14:paraId="03ED4271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401AA5D1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Create the backend engine that the app depends on.</w:t>
      </w:r>
    </w:p>
    <w:p w14:paraId="595828AD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261D6850" w14:textId="77777777" w:rsidR="000E2962" w:rsidRPr="000E2962" w:rsidRDefault="000E2962" w:rsidP="000E2962">
      <w:pPr>
        <w:numPr>
          <w:ilvl w:val="0"/>
          <w:numId w:val="43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Node.js + TypeScript worker service</w:t>
      </w:r>
      <w:r w:rsidRPr="000E2962">
        <w:rPr>
          <w:rFonts w:ascii="DM Sans" w:hAnsi="DM Sans"/>
        </w:rPr>
        <w:t xml:space="preserve"> </w:t>
      </w:r>
    </w:p>
    <w:p w14:paraId="51379B61" w14:textId="77777777" w:rsidR="000E2962" w:rsidRPr="000E2962" w:rsidRDefault="000E2962" w:rsidP="000E2962">
      <w:pPr>
        <w:numPr>
          <w:ilvl w:val="0"/>
          <w:numId w:val="43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Supabase</w:t>
      </w:r>
      <w:r w:rsidRPr="000E2962">
        <w:rPr>
          <w:rFonts w:ascii="DM Sans" w:hAnsi="DM Sans"/>
          <w:lang w:val="en-GB"/>
        </w:rPr>
        <w:t xml:space="preserve"> as the system of record </w:t>
      </w:r>
    </w:p>
    <w:p w14:paraId="5D50BBAB" w14:textId="77777777" w:rsidR="000E2962" w:rsidRPr="000E2962" w:rsidRDefault="000E2962" w:rsidP="000E2962">
      <w:pPr>
        <w:numPr>
          <w:ilvl w:val="0"/>
          <w:numId w:val="43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b/>
          <w:bCs/>
          <w:lang w:val="en-GB"/>
        </w:rPr>
        <w:t>one market data provider only</w:t>
      </w:r>
      <w:r w:rsidRPr="000E2962">
        <w:rPr>
          <w:rFonts w:ascii="DM Sans" w:hAnsi="DM Sans"/>
          <w:lang w:val="en-GB"/>
        </w:rPr>
        <w:t xml:space="preserve"> to start </w:t>
      </w:r>
    </w:p>
    <w:p w14:paraId="7D3C6A61" w14:textId="77777777" w:rsidR="000E2962" w:rsidRPr="000E2962" w:rsidRDefault="000E2962" w:rsidP="000E2962">
      <w:pPr>
        <w:numPr>
          <w:ilvl w:val="0"/>
          <w:numId w:val="4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scheduled jobs / cron </w:t>
      </w:r>
    </w:p>
    <w:p w14:paraId="11CA1496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this worker should do</w:t>
      </w:r>
    </w:p>
    <w:p w14:paraId="10847006" w14:textId="77777777" w:rsidR="000E2962" w:rsidRPr="000E2962" w:rsidRDefault="000E2962" w:rsidP="000E2962">
      <w:pPr>
        <w:numPr>
          <w:ilvl w:val="0"/>
          <w:numId w:val="4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fetch market/event data </w:t>
      </w:r>
    </w:p>
    <w:p w14:paraId="43CA4C21" w14:textId="77777777" w:rsidR="000E2962" w:rsidRPr="000E2962" w:rsidRDefault="000E2962" w:rsidP="000E2962">
      <w:pPr>
        <w:numPr>
          <w:ilvl w:val="0"/>
          <w:numId w:val="4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normalize data into internal event shapes </w:t>
      </w:r>
    </w:p>
    <w:p w14:paraId="42D75F6F" w14:textId="77777777" w:rsidR="000E2962" w:rsidRPr="000E2962" w:rsidRDefault="000E2962" w:rsidP="000E2962">
      <w:pPr>
        <w:numPr>
          <w:ilvl w:val="0"/>
          <w:numId w:val="4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write raw/processed records to Supabase </w:t>
      </w:r>
    </w:p>
    <w:p w14:paraId="5B75102C" w14:textId="77777777" w:rsidR="000E2962" w:rsidRPr="000E2962" w:rsidRDefault="000E2962" w:rsidP="000E2962">
      <w:pPr>
        <w:numPr>
          <w:ilvl w:val="0"/>
          <w:numId w:val="4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later trigger summaries and digests </w:t>
      </w:r>
    </w:p>
    <w:p w14:paraId="34FA4293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7FD8CC07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Create a worker service for StockClarify in Node.js + TypeScript.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Separate this from the mobile app</w:t>
      </w:r>
      <w:r w:rsidRPr="000E2962">
        <w:rPr>
          <w:rFonts w:ascii="DM Sans" w:hAnsi="DM Sans"/>
          <w:lang w:val="en-GB"/>
        </w:rPr>
        <w:br/>
        <w:t>- Include folders for jobs, services, db, and types</w:t>
      </w:r>
      <w:r w:rsidRPr="000E2962">
        <w:rPr>
          <w:rFonts w:ascii="DM Sans" w:hAnsi="DM Sans"/>
          <w:lang w:val="en-GB"/>
        </w:rPr>
        <w:br/>
        <w:t>- Create a marketDataService interface so data providers can be swapped later</w:t>
      </w:r>
      <w:r w:rsidRPr="000E2962">
        <w:rPr>
          <w:rFonts w:ascii="DM Sans" w:hAnsi="DM Sans"/>
          <w:lang w:val="en-GB"/>
        </w:rPr>
        <w:br/>
        <w:t>- Start with one provider integration only</w:t>
      </w:r>
      <w:r w:rsidRPr="000E2962">
        <w:rPr>
          <w:rFonts w:ascii="DM Sans" w:hAnsi="DM Sans"/>
          <w:lang w:val="en-GB"/>
        </w:rPr>
        <w:br/>
        <w:t>- Write processed event records into Supabase</w:t>
      </w:r>
      <w:r w:rsidRPr="000E2962">
        <w:rPr>
          <w:rFonts w:ascii="DM Sans" w:hAnsi="DM Sans"/>
          <w:lang w:val="en-GB"/>
        </w:rPr>
        <w:br/>
        <w:t>- Keep the architecture simple and testable</w:t>
      </w:r>
    </w:p>
    <w:p w14:paraId="3B182573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Important things in this phase</w:t>
      </w:r>
    </w:p>
    <w:p w14:paraId="28617ED3" w14:textId="77777777" w:rsidR="000E2962" w:rsidRPr="000E2962" w:rsidRDefault="000E2962" w:rsidP="000E2962">
      <w:pPr>
        <w:numPr>
          <w:ilvl w:val="0"/>
          <w:numId w:val="45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The phone app should not do data ingestion. </w:t>
      </w:r>
    </w:p>
    <w:p w14:paraId="3F4B3A85" w14:textId="77777777" w:rsidR="000E2962" w:rsidRPr="000E2962" w:rsidRDefault="000E2962" w:rsidP="000E2962">
      <w:pPr>
        <w:numPr>
          <w:ilvl w:val="0"/>
          <w:numId w:val="45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support multiple providers yet. </w:t>
      </w:r>
    </w:p>
    <w:p w14:paraId="4410E04D" w14:textId="77777777" w:rsidR="000E2962" w:rsidRPr="000E2962" w:rsidRDefault="000E2962" w:rsidP="000E2962">
      <w:pPr>
        <w:numPr>
          <w:ilvl w:val="0"/>
          <w:numId w:val="45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Normalize external events into your own schema before saving them. </w:t>
      </w:r>
    </w:p>
    <w:p w14:paraId="5679B799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6F8F916">
          <v:rect id="_x0000_i1109" style="width:0;height:1.5pt" o:hralign="center" o:hrstd="t" o:hr="t" fillcolor="#a0a0a0" stroked="f"/>
        </w:pict>
      </w:r>
    </w:p>
    <w:p w14:paraId="16854951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lastRenderedPageBreak/>
        <w:t>Phase 6 — Add the StockClarify intelligence layer</w:t>
      </w:r>
    </w:p>
    <w:p w14:paraId="125A6F03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32617D9D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Turn raw events into useful StockClarify summaries.</w:t>
      </w:r>
    </w:p>
    <w:p w14:paraId="611CBA5D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262662D2" w14:textId="77777777" w:rsidR="000E2962" w:rsidRPr="000E2962" w:rsidRDefault="000E2962" w:rsidP="000E2962">
      <w:pPr>
        <w:numPr>
          <w:ilvl w:val="0"/>
          <w:numId w:val="46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worker service</w:t>
      </w:r>
      <w:r w:rsidRPr="000E2962">
        <w:rPr>
          <w:rFonts w:ascii="DM Sans" w:hAnsi="DM Sans"/>
        </w:rPr>
        <w:t xml:space="preserve"> </w:t>
      </w:r>
    </w:p>
    <w:p w14:paraId="29A9CE62" w14:textId="77777777" w:rsidR="000E2962" w:rsidRPr="000E2962" w:rsidRDefault="000E2962" w:rsidP="000E2962">
      <w:pPr>
        <w:numPr>
          <w:ilvl w:val="0"/>
          <w:numId w:val="4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rules-based importance scoring </w:t>
      </w:r>
    </w:p>
    <w:p w14:paraId="725F5300" w14:textId="77777777" w:rsidR="000E2962" w:rsidRPr="000E2962" w:rsidRDefault="000E2962" w:rsidP="000E2962">
      <w:pPr>
        <w:numPr>
          <w:ilvl w:val="0"/>
          <w:numId w:val="46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LLM or summarization layer after scoring </w:t>
      </w:r>
    </w:p>
    <w:p w14:paraId="4E001931" w14:textId="77777777" w:rsidR="000E2962" w:rsidRPr="000E2962" w:rsidRDefault="000E2962" w:rsidP="000E2962">
      <w:pPr>
        <w:numPr>
          <w:ilvl w:val="0"/>
          <w:numId w:val="4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Supabase storage/tables for results </w:t>
      </w:r>
    </w:p>
    <w:p w14:paraId="74D33FBE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implement</w:t>
      </w:r>
    </w:p>
    <w:p w14:paraId="67415F25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For each event:</w:t>
      </w:r>
    </w:p>
    <w:p w14:paraId="51EC09D9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classify event type </w:t>
      </w:r>
    </w:p>
    <w:p w14:paraId="6742A9E3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assign importance score </w:t>
      </w:r>
    </w:p>
    <w:p w14:paraId="037C646D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generate short title </w:t>
      </w:r>
    </w:p>
    <w:p w14:paraId="56255FD8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generate summary </w:t>
      </w:r>
    </w:p>
    <w:p w14:paraId="72DACEC9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generate “why it matters” </w:t>
      </w:r>
    </w:p>
    <w:p w14:paraId="4F3BF5BF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optionally generate recent historical context </w:t>
      </w:r>
    </w:p>
    <w:p w14:paraId="4A4F7CA0" w14:textId="77777777" w:rsidR="000E2962" w:rsidRPr="000E2962" w:rsidRDefault="000E2962" w:rsidP="000E2962">
      <w:pPr>
        <w:numPr>
          <w:ilvl w:val="0"/>
          <w:numId w:val="47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store the result in stock_events </w:t>
      </w:r>
    </w:p>
    <w:p w14:paraId="666CD09A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to send in Cursor</w:t>
      </w:r>
    </w:p>
    <w:p w14:paraId="778B92E9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Implement the first StockClarify event intelligence pipeline.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For each raw stock event:</w:t>
      </w:r>
      <w:r w:rsidRPr="000E2962">
        <w:rPr>
          <w:rFonts w:ascii="DM Sans" w:hAnsi="DM Sans"/>
          <w:lang w:val="en-GB"/>
        </w:rPr>
        <w:br/>
        <w:t>1. classify the event type</w:t>
      </w:r>
      <w:r w:rsidRPr="000E2962">
        <w:rPr>
          <w:rFonts w:ascii="DM Sans" w:hAnsi="DM Sans"/>
          <w:lang w:val="en-GB"/>
        </w:rPr>
        <w:br/>
        <w:t>2. assign an importance score</w:t>
      </w:r>
      <w:r w:rsidRPr="000E2962">
        <w:rPr>
          <w:rFonts w:ascii="DM Sans" w:hAnsi="DM Sans"/>
          <w:lang w:val="en-GB"/>
        </w:rPr>
        <w:br/>
        <w:t>3. generate a plain-language title</w:t>
      </w:r>
      <w:r w:rsidRPr="000E2962">
        <w:rPr>
          <w:rFonts w:ascii="DM Sans" w:hAnsi="DM Sans"/>
          <w:lang w:val="en-GB"/>
        </w:rPr>
        <w:br/>
        <w:t>4. generate a short summary</w:t>
      </w:r>
      <w:r w:rsidRPr="000E2962">
        <w:rPr>
          <w:rFonts w:ascii="DM Sans" w:hAnsi="DM Sans"/>
          <w:lang w:val="en-GB"/>
        </w:rPr>
        <w:br/>
        <w:t>5. generate a short "why it matters" explanation</w:t>
      </w:r>
      <w:r w:rsidRPr="000E2962">
        <w:rPr>
          <w:rFonts w:ascii="DM Sans" w:hAnsi="DM Sans"/>
          <w:lang w:val="en-GB"/>
        </w:rPr>
        <w:br/>
        <w:t>6. save the processed event to Supabase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Guidelines:</w:t>
      </w:r>
      <w:r w:rsidRPr="000E2962">
        <w:rPr>
          <w:rFonts w:ascii="DM Sans" w:hAnsi="DM Sans"/>
          <w:lang w:val="en-GB"/>
        </w:rPr>
        <w:br/>
        <w:t>- Start with deterministic scoring rules before adding complex AI logic</w:t>
      </w:r>
      <w:r w:rsidRPr="000E2962">
        <w:rPr>
          <w:rFonts w:ascii="DM Sans" w:hAnsi="DM Sans"/>
          <w:lang w:val="en-GB"/>
        </w:rPr>
        <w:br/>
        <w:t>- Use plain language for non-professional investors</w:t>
      </w:r>
      <w:r w:rsidRPr="000E2962">
        <w:rPr>
          <w:rFonts w:ascii="DM Sans" w:hAnsi="DM Sans"/>
          <w:lang w:val="en-GB"/>
        </w:rPr>
        <w:br/>
        <w:t>- Keep summaries concise</w:t>
      </w:r>
      <w:r w:rsidRPr="000E2962">
        <w:rPr>
          <w:rFonts w:ascii="DM Sans" w:hAnsi="DM Sans"/>
          <w:lang w:val="en-GB"/>
        </w:rPr>
        <w:br/>
        <w:t>- Avoid predictive or investment-advice language</w:t>
      </w:r>
    </w:p>
    <w:p w14:paraId="408FF53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Important things in this phase</w:t>
      </w:r>
    </w:p>
    <w:p w14:paraId="6DBF59DB" w14:textId="77777777" w:rsidR="000E2962" w:rsidRPr="000E2962" w:rsidRDefault="000E2962" w:rsidP="000E2962">
      <w:pPr>
        <w:numPr>
          <w:ilvl w:val="0"/>
          <w:numId w:val="4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Rank first, summarize second. </w:t>
      </w:r>
    </w:p>
    <w:p w14:paraId="60E711B4" w14:textId="77777777" w:rsidR="000E2962" w:rsidRPr="000E2962" w:rsidRDefault="000E2962" w:rsidP="000E2962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lastRenderedPageBreak/>
        <w:t xml:space="preserve">Do not let the app summarize on-device. </w:t>
      </w:r>
    </w:p>
    <w:p w14:paraId="1B9F1D01" w14:textId="77777777" w:rsidR="000E2962" w:rsidRPr="000E2962" w:rsidRDefault="000E2962" w:rsidP="000E2962">
      <w:pPr>
        <w:numPr>
          <w:ilvl w:val="0"/>
          <w:numId w:val="48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Keep wording informative, not advisory. </w:t>
      </w:r>
    </w:p>
    <w:p w14:paraId="42287772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38787C43">
          <v:rect id="_x0000_i1110" style="width:0;height:1.5pt" o:hralign="center" o:hrstd="t" o:hr="t" fillcolor="#a0a0a0" stroked="f"/>
        </w:pict>
      </w:r>
    </w:p>
    <w:p w14:paraId="257B2037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7 — Build the daily digest</w:t>
      </w:r>
    </w:p>
    <w:p w14:paraId="7F8FA29C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445E498F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Create the key habit-forming feature from the thesis.</w:t>
      </w:r>
    </w:p>
    <w:p w14:paraId="7038DBC5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50541930" w14:textId="77777777" w:rsidR="000E2962" w:rsidRPr="000E2962" w:rsidRDefault="000E2962" w:rsidP="000E2962">
      <w:pPr>
        <w:numPr>
          <w:ilvl w:val="0"/>
          <w:numId w:val="4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worker scheduler </w:t>
      </w:r>
    </w:p>
    <w:p w14:paraId="455733C2" w14:textId="77777777" w:rsidR="000E2962" w:rsidRPr="000E2962" w:rsidRDefault="000E2962" w:rsidP="000E2962">
      <w:pPr>
        <w:numPr>
          <w:ilvl w:val="0"/>
          <w:numId w:val="4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Supabase digest tables </w:t>
      </w:r>
    </w:p>
    <w:p w14:paraId="3D6973D7" w14:textId="77777777" w:rsidR="000E2962" w:rsidRPr="000E2962" w:rsidRDefault="000E2962" w:rsidP="000E2962">
      <w:pPr>
        <w:numPr>
          <w:ilvl w:val="0"/>
          <w:numId w:val="49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Cursor for the digest screen and loading states </w:t>
      </w:r>
    </w:p>
    <w:p w14:paraId="118DDB32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implement</w:t>
      </w:r>
    </w:p>
    <w:p w14:paraId="0A1EC9B6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per-user digest generation </w:t>
      </w:r>
    </w:p>
    <w:p w14:paraId="5A2CF59A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pull top relevant events from watchlist </w:t>
      </w:r>
    </w:p>
    <w:p w14:paraId="09D6EE6A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rank them </w:t>
      </w:r>
    </w:p>
    <w:p w14:paraId="15850757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generate digest summary </w:t>
      </w:r>
    </w:p>
    <w:p w14:paraId="2B775C3D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save digest and digest items </w:t>
      </w:r>
    </w:p>
    <w:p w14:paraId="1D1A5C84" w14:textId="77777777" w:rsidR="000E2962" w:rsidRPr="000E2962" w:rsidRDefault="000E2962" w:rsidP="000E2962">
      <w:pPr>
        <w:numPr>
          <w:ilvl w:val="0"/>
          <w:numId w:val="50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display in app </w:t>
      </w:r>
    </w:p>
    <w:p w14:paraId="175BEAF4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3C51528E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Implement the StockClarify daily digest pipeline.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For each user, fetch the stocks in their watchlists</w:t>
      </w:r>
      <w:r w:rsidRPr="000E2962">
        <w:rPr>
          <w:rFonts w:ascii="DM Sans" w:hAnsi="DM Sans"/>
          <w:lang w:val="en-GB"/>
        </w:rPr>
        <w:br/>
        <w:t>- Find relevant processed events from the last 24 hours</w:t>
      </w:r>
      <w:r w:rsidRPr="000E2962">
        <w:rPr>
          <w:rFonts w:ascii="DM Sans" w:hAnsi="DM Sans"/>
          <w:lang w:val="en-GB"/>
        </w:rPr>
        <w:br/>
        <w:t>- Rank the top items by importance and relevance</w:t>
      </w:r>
      <w:r w:rsidRPr="000E2962">
        <w:rPr>
          <w:rFonts w:ascii="DM Sans" w:hAnsi="DM Sans"/>
          <w:lang w:val="en-GB"/>
        </w:rPr>
        <w:br/>
        <w:t>- Generate a short digest summary</w:t>
      </w:r>
      <w:r w:rsidRPr="000E2962">
        <w:rPr>
          <w:rFonts w:ascii="DM Sans" w:hAnsi="DM Sans"/>
          <w:lang w:val="en-GB"/>
        </w:rPr>
        <w:br/>
        <w:t>- Save the digest in daily_digests and daily_digest_items</w:t>
      </w:r>
      <w:r w:rsidRPr="000E2962">
        <w:rPr>
          <w:rFonts w:ascii="DM Sans" w:hAnsi="DM Sans"/>
          <w:lang w:val="en-GB"/>
        </w:rPr>
        <w:br/>
        <w:t>- Keep the logic simple and explainable</w:t>
      </w:r>
    </w:p>
    <w:p w14:paraId="16D8E91B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for the app side</w:t>
      </w:r>
    </w:p>
    <w:p w14:paraId="1A736A48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Connect the Daily Digest screen to real Supabase data.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Show the latest digest for the signed-in user</w:t>
      </w:r>
      <w:r w:rsidRPr="000E2962">
        <w:rPr>
          <w:rFonts w:ascii="DM Sans" w:hAnsi="DM Sans"/>
          <w:lang w:val="en-GB"/>
        </w:rPr>
        <w:br/>
        <w:t>- Group items into clear sections</w:t>
      </w:r>
      <w:r w:rsidRPr="000E2962">
        <w:rPr>
          <w:rFonts w:ascii="DM Sans" w:hAnsi="DM Sans"/>
          <w:lang w:val="en-GB"/>
        </w:rPr>
        <w:br/>
        <w:t>- Support loading, empty, and error states</w:t>
      </w:r>
      <w:r w:rsidRPr="000E2962">
        <w:rPr>
          <w:rFonts w:ascii="DM Sans" w:hAnsi="DM Sans"/>
          <w:lang w:val="en-GB"/>
        </w:rPr>
        <w:br/>
        <w:t>- The screen should feel like a calm morning briefing, not a news feed</w:t>
      </w:r>
    </w:p>
    <w:p w14:paraId="58C10BD8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lastRenderedPageBreak/>
        <w:t>Important things in this phase</w:t>
      </w:r>
    </w:p>
    <w:p w14:paraId="00F04673" w14:textId="77777777" w:rsidR="000E2962" w:rsidRPr="000E2962" w:rsidRDefault="000E2962" w:rsidP="000E2962">
      <w:pPr>
        <w:numPr>
          <w:ilvl w:val="0"/>
          <w:numId w:val="5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Keep digest length intentionally short. </w:t>
      </w:r>
    </w:p>
    <w:p w14:paraId="1CCB4940" w14:textId="77777777" w:rsidR="000E2962" w:rsidRPr="000E2962" w:rsidRDefault="000E2962" w:rsidP="000E2962">
      <w:pPr>
        <w:numPr>
          <w:ilvl w:val="0"/>
          <w:numId w:val="5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This is one of the strongest validation points for the thesis. </w:t>
      </w:r>
    </w:p>
    <w:p w14:paraId="3DC5DAD1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0143E3D2">
          <v:rect id="_x0000_i1111" style="width:0;height:1.5pt" o:hralign="center" o:hrstd="t" o:hr="t" fillcolor="#a0a0a0" stroked="f"/>
        </w:pict>
      </w:r>
    </w:p>
    <w:p w14:paraId="6A685C9A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8 — Add push notifications</w:t>
      </w:r>
    </w:p>
    <w:p w14:paraId="40B56BD8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Goal</w:t>
      </w:r>
    </w:p>
    <w:p w14:paraId="0AF70687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Make the app proactive.</w:t>
      </w:r>
    </w:p>
    <w:p w14:paraId="41C22057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4F5F8564" w14:textId="77777777" w:rsidR="000E2962" w:rsidRPr="000E2962" w:rsidRDefault="000E2962" w:rsidP="000E2962">
      <w:pPr>
        <w:numPr>
          <w:ilvl w:val="0"/>
          <w:numId w:val="52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expo-notifications</w:t>
      </w:r>
      <w:r w:rsidRPr="000E2962">
        <w:rPr>
          <w:rFonts w:ascii="DM Sans" w:hAnsi="DM Sans"/>
        </w:rPr>
        <w:t xml:space="preserve"> </w:t>
      </w:r>
    </w:p>
    <w:p w14:paraId="1E8D3ABA" w14:textId="77777777" w:rsidR="000E2962" w:rsidRPr="000E2962" w:rsidRDefault="000E2962" w:rsidP="000E2962">
      <w:pPr>
        <w:numPr>
          <w:ilvl w:val="0"/>
          <w:numId w:val="52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Expo development builds</w:t>
      </w:r>
      <w:r w:rsidRPr="000E2962">
        <w:rPr>
          <w:rFonts w:ascii="DM Sans" w:hAnsi="DM Sans"/>
        </w:rPr>
        <w:t xml:space="preserve"> </w:t>
      </w:r>
    </w:p>
    <w:p w14:paraId="2B12AC8A" w14:textId="77777777" w:rsidR="000E2962" w:rsidRPr="000E2962" w:rsidRDefault="000E2962" w:rsidP="000E2962">
      <w:pPr>
        <w:numPr>
          <w:ilvl w:val="0"/>
          <w:numId w:val="52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EAS Build</w:t>
      </w:r>
      <w:r w:rsidRPr="000E2962">
        <w:rPr>
          <w:rFonts w:ascii="DM Sans" w:hAnsi="DM Sans"/>
        </w:rPr>
        <w:t xml:space="preserve"> </w:t>
      </w:r>
    </w:p>
    <w:p w14:paraId="0672021A" w14:textId="77777777" w:rsidR="000E2962" w:rsidRPr="000E2962" w:rsidRDefault="000E2962" w:rsidP="000E2962">
      <w:pPr>
        <w:numPr>
          <w:ilvl w:val="0"/>
          <w:numId w:val="52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Supabase device_tokens </w:t>
      </w:r>
    </w:p>
    <w:p w14:paraId="5EC75C5C" w14:textId="77777777" w:rsidR="000E2962" w:rsidRPr="000E2962" w:rsidRDefault="000E2962" w:rsidP="000E2962">
      <w:pPr>
        <w:numPr>
          <w:ilvl w:val="0"/>
          <w:numId w:val="52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worker notification job </w:t>
      </w:r>
    </w:p>
    <w:p w14:paraId="212F291D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Expo documents expo-notifications for local and push notifications, notes that push flows route through APNs/FCM, and explains that for full native capability you move from Expo Go to a development build. EAS Build creates ready-to-submit binaries for the App Store and Google Play. </w:t>
      </w:r>
    </w:p>
    <w:p w14:paraId="29490265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implement</w:t>
      </w:r>
    </w:p>
    <w:p w14:paraId="70EDB3C1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notification permissions </w:t>
      </w:r>
    </w:p>
    <w:p w14:paraId="6A15F5DC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collect Expo push token </w:t>
      </w:r>
    </w:p>
    <w:p w14:paraId="6785F7C6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save token to Supabase </w:t>
      </w:r>
    </w:p>
    <w:p w14:paraId="197F54A1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user alert preferences </w:t>
      </w:r>
    </w:p>
    <w:p w14:paraId="44DE54F8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worker decides when to send </w:t>
      </w:r>
    </w:p>
    <w:p w14:paraId="206E7594" w14:textId="77777777" w:rsidR="000E2962" w:rsidRPr="000E2962" w:rsidRDefault="000E2962" w:rsidP="000E2962">
      <w:pPr>
        <w:numPr>
          <w:ilvl w:val="0"/>
          <w:numId w:val="53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send only selected high-signal alerts </w:t>
      </w:r>
    </w:p>
    <w:p w14:paraId="48A16D2E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Prompt to send in Cursor</w:t>
      </w:r>
    </w:p>
    <w:p w14:paraId="73E66350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Add push notification support to StockClarify.</w:t>
      </w:r>
      <w:r w:rsidRPr="000E2962">
        <w:rPr>
          <w:rFonts w:ascii="DM Sans" w:hAnsi="DM Sans"/>
          <w:lang w:val="en-GB"/>
        </w:rPr>
        <w:br/>
      </w:r>
      <w:r w:rsidRPr="000E2962">
        <w:rPr>
          <w:rFonts w:ascii="DM Sans" w:hAnsi="DM Sans"/>
          <w:lang w:val="en-GB"/>
        </w:rPr>
        <w:br/>
        <w:t>Requirements:</w:t>
      </w:r>
      <w:r w:rsidRPr="000E2962">
        <w:rPr>
          <w:rFonts w:ascii="DM Sans" w:hAnsi="DM Sans"/>
          <w:lang w:val="en-GB"/>
        </w:rPr>
        <w:br/>
        <w:t>- Use expo-notifications</w:t>
      </w:r>
      <w:r w:rsidRPr="000E2962">
        <w:rPr>
          <w:rFonts w:ascii="DM Sans" w:hAnsi="DM Sans"/>
          <w:lang w:val="en-GB"/>
        </w:rPr>
        <w:br/>
        <w:t>- Ask for notification permissions in a clean way</w:t>
      </w:r>
      <w:r w:rsidRPr="000E2962">
        <w:rPr>
          <w:rFonts w:ascii="DM Sans" w:hAnsi="DM Sans"/>
          <w:lang w:val="en-GB"/>
        </w:rPr>
        <w:br/>
        <w:t>- Store the Expo push token in Supabase</w:t>
      </w:r>
      <w:r w:rsidRPr="000E2962">
        <w:rPr>
          <w:rFonts w:ascii="DM Sans" w:hAnsi="DM Sans"/>
          <w:lang w:val="en-GB"/>
        </w:rPr>
        <w:br/>
        <w:t>- Respect user notification preferences</w:t>
      </w:r>
      <w:r w:rsidRPr="000E2962">
        <w:rPr>
          <w:rFonts w:ascii="DM Sans" w:hAnsi="DM Sans"/>
          <w:lang w:val="en-GB"/>
        </w:rPr>
        <w:br/>
        <w:t>- Prepare the app for a worker-based notification sender</w:t>
      </w:r>
      <w:r w:rsidRPr="000E2962">
        <w:rPr>
          <w:rFonts w:ascii="DM Sans" w:hAnsi="DM Sans"/>
          <w:lang w:val="en-GB"/>
        </w:rPr>
        <w:br/>
        <w:t>- Do not send notifications from the client app itself</w:t>
      </w:r>
    </w:p>
    <w:p w14:paraId="687CD997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lastRenderedPageBreak/>
        <w:t>Important things in this phase</w:t>
      </w:r>
    </w:p>
    <w:p w14:paraId="18B4547E" w14:textId="77777777" w:rsidR="000E2962" w:rsidRPr="000E2962" w:rsidRDefault="000E2962" w:rsidP="000E2962">
      <w:pPr>
        <w:numPr>
          <w:ilvl w:val="0"/>
          <w:numId w:val="5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Push is not fully testable in plain Expo Go for all cases; Expo’s current docs recommend development builds when native customization is needed. </w:t>
      </w:r>
    </w:p>
    <w:p w14:paraId="591A290F" w14:textId="77777777" w:rsidR="000E2962" w:rsidRPr="000E2962" w:rsidRDefault="000E2962" w:rsidP="000E2962">
      <w:pPr>
        <w:numPr>
          <w:ilvl w:val="0"/>
          <w:numId w:val="54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Start with only a few notification types: </w:t>
      </w:r>
    </w:p>
    <w:p w14:paraId="5BA602A2" w14:textId="77777777" w:rsidR="000E2962" w:rsidRPr="000E2962" w:rsidRDefault="000E2962" w:rsidP="000E2962">
      <w:pPr>
        <w:numPr>
          <w:ilvl w:val="1"/>
          <w:numId w:val="5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digest ready </w:t>
      </w:r>
    </w:p>
    <w:p w14:paraId="0ABFE70F" w14:textId="77777777" w:rsidR="000E2962" w:rsidRPr="000E2962" w:rsidRDefault="000E2962" w:rsidP="000E2962">
      <w:pPr>
        <w:numPr>
          <w:ilvl w:val="1"/>
          <w:numId w:val="5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major price move </w:t>
      </w:r>
    </w:p>
    <w:p w14:paraId="7F0FD4A1" w14:textId="77777777" w:rsidR="000E2962" w:rsidRPr="000E2962" w:rsidRDefault="000E2962" w:rsidP="000E2962">
      <w:pPr>
        <w:numPr>
          <w:ilvl w:val="1"/>
          <w:numId w:val="5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earnings release </w:t>
      </w:r>
    </w:p>
    <w:p w14:paraId="1D5D2ECF" w14:textId="77777777" w:rsidR="000E2962" w:rsidRPr="000E2962" w:rsidRDefault="000E2962" w:rsidP="000E2962">
      <w:pPr>
        <w:numPr>
          <w:ilvl w:val="1"/>
          <w:numId w:val="54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high-importance company event </w:t>
      </w:r>
    </w:p>
    <w:p w14:paraId="1AD97AAB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4879BB9">
          <v:rect id="_x0000_i1112" style="width:0;height:1.5pt" o:hralign="center" o:hrstd="t" o:hr="t" fillcolor="#a0a0a0" stroked="f"/>
        </w:pict>
      </w:r>
    </w:p>
    <w:p w14:paraId="24439FD4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Phase 9 — Internal beta and usefulness testing</w:t>
      </w:r>
    </w:p>
    <w:p w14:paraId="51575A36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Goal</w:t>
      </w:r>
    </w:p>
    <w:p w14:paraId="1F2CAD6D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Test whether StockClarify is actually helpful, not just functional.</w:t>
      </w:r>
    </w:p>
    <w:p w14:paraId="1005DFF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Use these tools</w:t>
      </w:r>
    </w:p>
    <w:p w14:paraId="4C6E4832" w14:textId="77777777" w:rsidR="000E2962" w:rsidRPr="000E2962" w:rsidRDefault="000E2962" w:rsidP="000E2962">
      <w:pPr>
        <w:numPr>
          <w:ilvl w:val="0"/>
          <w:numId w:val="55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EAS Build</w:t>
      </w:r>
      <w:r w:rsidRPr="000E2962">
        <w:rPr>
          <w:rFonts w:ascii="DM Sans" w:hAnsi="DM Sans"/>
        </w:rPr>
        <w:t xml:space="preserve"> for installable builds </w:t>
      </w:r>
    </w:p>
    <w:p w14:paraId="3DD47FDB" w14:textId="77777777" w:rsidR="000E2962" w:rsidRPr="000E2962" w:rsidRDefault="000E2962" w:rsidP="000E2962">
      <w:pPr>
        <w:numPr>
          <w:ilvl w:val="0"/>
          <w:numId w:val="55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TestFlight</w:t>
      </w:r>
      <w:r w:rsidRPr="000E2962">
        <w:rPr>
          <w:rFonts w:ascii="DM Sans" w:hAnsi="DM Sans"/>
        </w:rPr>
        <w:t xml:space="preserve"> </w:t>
      </w:r>
    </w:p>
    <w:p w14:paraId="1C39B84C" w14:textId="77777777" w:rsidR="000E2962" w:rsidRPr="000E2962" w:rsidRDefault="000E2962" w:rsidP="000E2962">
      <w:pPr>
        <w:numPr>
          <w:ilvl w:val="0"/>
          <w:numId w:val="55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Google Play internal testing</w:t>
      </w:r>
      <w:r w:rsidRPr="000E2962">
        <w:rPr>
          <w:rFonts w:ascii="DM Sans" w:hAnsi="DM Sans"/>
        </w:rPr>
        <w:t xml:space="preserve"> </w:t>
      </w:r>
    </w:p>
    <w:p w14:paraId="6D5FF6E0" w14:textId="77777777" w:rsidR="000E2962" w:rsidRPr="000E2962" w:rsidRDefault="000E2962" w:rsidP="000E2962">
      <w:pPr>
        <w:numPr>
          <w:ilvl w:val="0"/>
          <w:numId w:val="55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Supabase logs / analytics tables </w:t>
      </w:r>
    </w:p>
    <w:p w14:paraId="158EE338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 xml:space="preserve">EAS Build is designed to create ready-to-submit binaries for the Apple App Store and Google Play. </w:t>
      </w:r>
    </w:p>
    <w:p w14:paraId="25AF87EE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What to test</w:t>
      </w:r>
    </w:p>
    <w:p w14:paraId="59FE6BDC" w14:textId="77777777" w:rsidR="000E2962" w:rsidRPr="000E2962" w:rsidRDefault="000E2962" w:rsidP="000E2962">
      <w:pPr>
        <w:numPr>
          <w:ilvl w:val="0"/>
          <w:numId w:val="5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 users understand summaries quickly? </w:t>
      </w:r>
    </w:p>
    <w:p w14:paraId="107CABD2" w14:textId="77777777" w:rsidR="000E2962" w:rsidRPr="000E2962" w:rsidRDefault="000E2962" w:rsidP="000E2962">
      <w:pPr>
        <w:numPr>
          <w:ilvl w:val="0"/>
          <w:numId w:val="5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 they trust the digest? </w:t>
      </w:r>
    </w:p>
    <w:p w14:paraId="19D8430D" w14:textId="77777777" w:rsidR="000E2962" w:rsidRPr="000E2962" w:rsidRDefault="000E2962" w:rsidP="000E2962">
      <w:pPr>
        <w:numPr>
          <w:ilvl w:val="0"/>
          <w:numId w:val="5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are alerts too frequent? </w:t>
      </w:r>
    </w:p>
    <w:p w14:paraId="18910033" w14:textId="77777777" w:rsidR="000E2962" w:rsidRPr="000E2962" w:rsidRDefault="000E2962" w:rsidP="000E2962">
      <w:pPr>
        <w:numPr>
          <w:ilvl w:val="0"/>
          <w:numId w:val="5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does the Today screen surface the right things? </w:t>
      </w:r>
    </w:p>
    <w:p w14:paraId="0DC15A08" w14:textId="77777777" w:rsidR="000E2962" w:rsidRPr="000E2962" w:rsidRDefault="000E2962" w:rsidP="000E2962">
      <w:pPr>
        <w:numPr>
          <w:ilvl w:val="0"/>
          <w:numId w:val="56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does the product feel calmer than existing alternatives? </w:t>
      </w:r>
    </w:p>
    <w:p w14:paraId="4DA78C8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Prompt to send in Cursor</w:t>
      </w:r>
    </w:p>
    <w:p w14:paraId="2FC78DB5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Help me prepare StockClarify for internal beta testing.</w:t>
      </w:r>
      <w:r w:rsidRPr="000E2962">
        <w:rPr>
          <w:rFonts w:ascii="DM Sans" w:hAnsi="DM Sans"/>
        </w:rPr>
        <w:br/>
      </w:r>
      <w:r w:rsidRPr="000E2962">
        <w:rPr>
          <w:rFonts w:ascii="DM Sans" w:hAnsi="DM Sans"/>
        </w:rPr>
        <w:br/>
        <w:t>Tasks:</w:t>
      </w:r>
      <w:r w:rsidRPr="000E2962">
        <w:rPr>
          <w:rFonts w:ascii="DM Sans" w:hAnsi="DM Sans"/>
        </w:rPr>
        <w:br/>
        <w:t>- review loading, empty, and error states</w:t>
      </w:r>
      <w:r w:rsidRPr="000E2962">
        <w:rPr>
          <w:rFonts w:ascii="DM Sans" w:hAnsi="DM Sans"/>
        </w:rPr>
        <w:br/>
        <w:t>- review text length and readability across all major screens</w:t>
      </w:r>
      <w:r w:rsidRPr="000E2962">
        <w:rPr>
          <w:rFonts w:ascii="DM Sans" w:hAnsi="DM Sans"/>
        </w:rPr>
        <w:br/>
        <w:t>- identify noisy UI elements that reduce clarity</w:t>
      </w:r>
      <w:r w:rsidRPr="000E2962">
        <w:rPr>
          <w:rFonts w:ascii="DM Sans" w:hAnsi="DM Sans"/>
        </w:rPr>
        <w:br/>
      </w:r>
      <w:r w:rsidRPr="000E2962">
        <w:rPr>
          <w:rFonts w:ascii="DM Sans" w:hAnsi="DM Sans"/>
        </w:rPr>
        <w:lastRenderedPageBreak/>
        <w:t>- create a small in-app feedback flow</w:t>
      </w:r>
      <w:r w:rsidRPr="000E2962">
        <w:rPr>
          <w:rFonts w:ascii="DM Sans" w:hAnsi="DM Sans"/>
        </w:rPr>
        <w:br/>
        <w:t>- suggest lightweight analytics events for the MVP</w:t>
      </w:r>
    </w:p>
    <w:p w14:paraId="15943119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Important things in this phase</w:t>
      </w:r>
    </w:p>
    <w:p w14:paraId="712C4579" w14:textId="77777777" w:rsidR="000E2962" w:rsidRPr="000E2962" w:rsidRDefault="000E2962" w:rsidP="000E2962">
      <w:pPr>
        <w:numPr>
          <w:ilvl w:val="0"/>
          <w:numId w:val="5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Do not add new major features before beta. </w:t>
      </w:r>
    </w:p>
    <w:p w14:paraId="4A723867" w14:textId="77777777" w:rsidR="000E2962" w:rsidRPr="000E2962" w:rsidRDefault="000E2962" w:rsidP="000E2962">
      <w:pPr>
        <w:numPr>
          <w:ilvl w:val="0"/>
          <w:numId w:val="57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Improve clarity, prioritization, and relevance first. </w:t>
      </w:r>
    </w:p>
    <w:p w14:paraId="1AEAB497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016DD709">
          <v:rect id="_x0000_i1113" style="width:0;height:1.5pt" o:hralign="center" o:hrstd="t" o:hr="t" fillcolor="#a0a0a0" stroked="f"/>
        </w:pict>
      </w:r>
    </w:p>
    <w:p w14:paraId="391ED148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Phase 10 — Phase 2 expansion only after validation</w:t>
      </w:r>
    </w:p>
    <w:p w14:paraId="6E4F9B7C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Goal</w:t>
      </w:r>
    </w:p>
    <w:p w14:paraId="7F0CC633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Expand carefully after the MVP proves itself.</w:t>
      </w:r>
    </w:p>
    <w:p w14:paraId="281C90EF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Add later</w:t>
      </w:r>
    </w:p>
    <w:p w14:paraId="6AF0E4C8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portfolio-aware prioritization </w:t>
      </w:r>
    </w:p>
    <w:p w14:paraId="3685C332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email digest </w:t>
      </w:r>
    </w:p>
    <w:p w14:paraId="449E166D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improved event categorization </w:t>
      </w:r>
    </w:p>
    <w:p w14:paraId="7FCF3573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richer historical context </w:t>
      </w:r>
    </w:p>
    <w:p w14:paraId="4B428585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optional web dashboard </w:t>
      </w:r>
    </w:p>
    <w:p w14:paraId="52092C30" w14:textId="77777777" w:rsidR="000E2962" w:rsidRPr="000E2962" w:rsidRDefault="000E2962" w:rsidP="000E2962">
      <w:pPr>
        <w:numPr>
          <w:ilvl w:val="0"/>
          <w:numId w:val="58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eventually brokerage integration </w:t>
      </w:r>
    </w:p>
    <w:p w14:paraId="44F1045B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Do not add too early</w:t>
      </w:r>
    </w:p>
    <w:p w14:paraId="6D40E582" w14:textId="77777777" w:rsidR="000E2962" w:rsidRPr="000E2962" w:rsidRDefault="000E2962" w:rsidP="000E2962">
      <w:pPr>
        <w:numPr>
          <w:ilvl w:val="0"/>
          <w:numId w:val="5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trading execution </w:t>
      </w:r>
    </w:p>
    <w:p w14:paraId="6DB18CE2" w14:textId="77777777" w:rsidR="000E2962" w:rsidRPr="000E2962" w:rsidRDefault="000E2962" w:rsidP="000E2962">
      <w:pPr>
        <w:numPr>
          <w:ilvl w:val="0"/>
          <w:numId w:val="5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social features </w:t>
      </w:r>
    </w:p>
    <w:p w14:paraId="4F76A03A" w14:textId="77777777" w:rsidR="000E2962" w:rsidRPr="000E2962" w:rsidRDefault="000E2962" w:rsidP="000E2962">
      <w:pPr>
        <w:numPr>
          <w:ilvl w:val="0"/>
          <w:numId w:val="5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advanced technical indicators </w:t>
      </w:r>
    </w:p>
    <w:p w14:paraId="14EDC117" w14:textId="77777777" w:rsidR="000E2962" w:rsidRPr="000E2962" w:rsidRDefault="000E2962" w:rsidP="000E2962">
      <w:pPr>
        <w:numPr>
          <w:ilvl w:val="0"/>
          <w:numId w:val="5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AI assistant chat </w:t>
      </w:r>
    </w:p>
    <w:p w14:paraId="0015580A" w14:textId="77777777" w:rsidR="000E2962" w:rsidRPr="000E2962" w:rsidRDefault="000E2962" w:rsidP="000E2962">
      <w:pPr>
        <w:numPr>
          <w:ilvl w:val="0"/>
          <w:numId w:val="59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complex portfolio analytics </w:t>
      </w:r>
    </w:p>
    <w:p w14:paraId="4DDF3273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6DDF368B">
          <v:rect id="_x0000_i1114" style="width:0;height:1.5pt" o:hralign="center" o:hrstd="t" o:hr="t" fillcolor="#a0a0a0" stroked="f"/>
        </w:pict>
      </w:r>
    </w:p>
    <w:p w14:paraId="069F562D" w14:textId="77777777" w:rsidR="000E2962" w:rsidRPr="000E2962" w:rsidRDefault="000E2962" w:rsidP="000E2962">
      <w:pPr>
        <w:rPr>
          <w:rFonts w:ascii="DM Sans" w:hAnsi="DM Sans"/>
          <w:b/>
          <w:bCs/>
        </w:rPr>
      </w:pPr>
      <w:r w:rsidRPr="000E2962">
        <w:rPr>
          <w:rFonts w:ascii="DM Sans" w:hAnsi="DM Sans"/>
          <w:b/>
          <w:bCs/>
        </w:rPr>
        <w:t>Suggested order of prompts inside Cursor</w:t>
      </w:r>
    </w:p>
    <w:p w14:paraId="29B9A8C8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t>Use this order, one prompt at a time:</w:t>
      </w:r>
    </w:p>
    <w:p w14:paraId="528CCF7B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Repo rules + folder structure</w:t>
      </w:r>
      <w:r w:rsidRPr="000E2962">
        <w:rPr>
          <w:rFonts w:ascii="DM Sans" w:hAnsi="DM Sans"/>
        </w:rPr>
        <w:t xml:space="preserve"> </w:t>
      </w:r>
    </w:p>
    <w:p w14:paraId="7F007ED1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Expo app shell</w:t>
      </w:r>
      <w:r w:rsidRPr="000E2962">
        <w:rPr>
          <w:rFonts w:ascii="DM Sans" w:hAnsi="DM Sans"/>
        </w:rPr>
        <w:t xml:space="preserve"> </w:t>
      </w:r>
    </w:p>
    <w:p w14:paraId="510E0FA9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Mocked Today screen</w:t>
      </w:r>
      <w:r w:rsidRPr="000E2962">
        <w:rPr>
          <w:rFonts w:ascii="DM Sans" w:hAnsi="DM Sans"/>
        </w:rPr>
        <w:t xml:space="preserve"> </w:t>
      </w:r>
    </w:p>
    <w:p w14:paraId="237BAA6D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Mocked Watchlist screen</w:t>
      </w:r>
      <w:r w:rsidRPr="000E2962">
        <w:rPr>
          <w:rFonts w:ascii="DM Sans" w:hAnsi="DM Sans"/>
        </w:rPr>
        <w:t xml:space="preserve"> </w:t>
      </w:r>
    </w:p>
    <w:p w14:paraId="5A45DDE1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Mocked Stock detail</w:t>
      </w:r>
      <w:r w:rsidRPr="000E2962">
        <w:rPr>
          <w:rFonts w:ascii="DM Sans" w:hAnsi="DM Sans"/>
        </w:rPr>
        <w:t xml:space="preserve"> </w:t>
      </w:r>
    </w:p>
    <w:p w14:paraId="455DE91D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Mocked Digest screen</w:t>
      </w:r>
      <w:r w:rsidRPr="000E2962">
        <w:rPr>
          <w:rFonts w:ascii="DM Sans" w:hAnsi="DM Sans"/>
        </w:rPr>
        <w:t xml:space="preserve"> </w:t>
      </w:r>
    </w:p>
    <w:p w14:paraId="3EC4D859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lastRenderedPageBreak/>
        <w:t>Supabase integration</w:t>
      </w:r>
      <w:r w:rsidRPr="000E2962">
        <w:rPr>
          <w:rFonts w:ascii="DM Sans" w:hAnsi="DM Sans"/>
        </w:rPr>
        <w:t xml:space="preserve"> </w:t>
      </w:r>
    </w:p>
    <w:p w14:paraId="20ACADDE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Supabase migrations + RLS</w:t>
      </w:r>
      <w:r w:rsidRPr="000E2962">
        <w:rPr>
          <w:rFonts w:ascii="DM Sans" w:hAnsi="DM Sans"/>
        </w:rPr>
        <w:t xml:space="preserve"> </w:t>
      </w:r>
    </w:p>
    <w:p w14:paraId="1B96E7D4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Connect watchlists</w:t>
      </w:r>
      <w:r w:rsidRPr="000E2962">
        <w:rPr>
          <w:rFonts w:ascii="DM Sans" w:hAnsi="DM Sans"/>
        </w:rPr>
        <w:t xml:space="preserve"> </w:t>
      </w:r>
    </w:p>
    <w:p w14:paraId="0748831D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Worker service skeleton</w:t>
      </w:r>
      <w:r w:rsidRPr="000E2962">
        <w:rPr>
          <w:rFonts w:ascii="DM Sans" w:hAnsi="DM Sans"/>
        </w:rPr>
        <w:t xml:space="preserve"> </w:t>
      </w:r>
    </w:p>
    <w:p w14:paraId="03DAB3E0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Event ingestion</w:t>
      </w:r>
      <w:r w:rsidRPr="000E2962">
        <w:rPr>
          <w:rFonts w:ascii="DM Sans" w:hAnsi="DM Sans"/>
        </w:rPr>
        <w:t xml:space="preserve"> </w:t>
      </w:r>
    </w:p>
    <w:p w14:paraId="78333EA9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Event scoring + summaries</w:t>
      </w:r>
      <w:r w:rsidRPr="000E2962">
        <w:rPr>
          <w:rFonts w:ascii="DM Sans" w:hAnsi="DM Sans"/>
        </w:rPr>
        <w:t xml:space="preserve"> </w:t>
      </w:r>
    </w:p>
    <w:p w14:paraId="60F7D2A0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Digest generation</w:t>
      </w:r>
      <w:r w:rsidRPr="000E2962">
        <w:rPr>
          <w:rFonts w:ascii="DM Sans" w:hAnsi="DM Sans"/>
        </w:rPr>
        <w:t xml:space="preserve"> </w:t>
      </w:r>
    </w:p>
    <w:p w14:paraId="1E58406F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Push notifications</w:t>
      </w:r>
      <w:r w:rsidRPr="000E2962">
        <w:rPr>
          <w:rFonts w:ascii="DM Sans" w:hAnsi="DM Sans"/>
        </w:rPr>
        <w:t xml:space="preserve"> </w:t>
      </w:r>
    </w:p>
    <w:p w14:paraId="3AACA2EA" w14:textId="77777777" w:rsidR="000E2962" w:rsidRPr="000E2962" w:rsidRDefault="000E2962" w:rsidP="000E2962">
      <w:pPr>
        <w:numPr>
          <w:ilvl w:val="0"/>
          <w:numId w:val="60"/>
        </w:numPr>
        <w:rPr>
          <w:rFonts w:ascii="DM Sans" w:hAnsi="DM Sans"/>
        </w:rPr>
      </w:pPr>
      <w:r w:rsidRPr="000E2962">
        <w:rPr>
          <w:rFonts w:ascii="DM Sans" w:hAnsi="DM Sans"/>
          <w:b/>
          <w:bCs/>
        </w:rPr>
        <w:t>Beta hardening</w:t>
      </w:r>
      <w:r w:rsidRPr="000E2962">
        <w:rPr>
          <w:rFonts w:ascii="DM Sans" w:hAnsi="DM Sans"/>
        </w:rPr>
        <w:t xml:space="preserve"> </w:t>
      </w:r>
    </w:p>
    <w:p w14:paraId="0BF2B484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That sequence is the safest way to keep Cursor productive and prevent architectural drift.</w:t>
      </w:r>
    </w:p>
    <w:p w14:paraId="7903E6B2" w14:textId="77777777" w:rsidR="000E2962" w:rsidRPr="000E2962" w:rsidRDefault="000E2962" w:rsidP="000E2962">
      <w:pPr>
        <w:rPr>
          <w:rFonts w:ascii="DM Sans" w:hAnsi="DM Sans"/>
        </w:rPr>
      </w:pPr>
      <w:r w:rsidRPr="000E2962">
        <w:rPr>
          <w:rFonts w:ascii="DM Sans" w:hAnsi="DM Sans"/>
        </w:rPr>
        <w:pict w14:anchorId="273C5285">
          <v:rect id="_x0000_i1115" style="width:0;height:1.5pt" o:hralign="center" o:hrstd="t" o:hr="t" fillcolor="#a0a0a0" stroked="f"/>
        </w:pict>
      </w:r>
    </w:p>
    <w:p w14:paraId="25B62417" w14:textId="77777777" w:rsidR="000E2962" w:rsidRPr="000E2962" w:rsidRDefault="000E2962" w:rsidP="000E2962">
      <w:pPr>
        <w:rPr>
          <w:rFonts w:ascii="DM Sans" w:hAnsi="DM Sans"/>
          <w:b/>
          <w:bCs/>
          <w:lang w:val="en-GB"/>
        </w:rPr>
      </w:pPr>
      <w:r w:rsidRPr="000E2962">
        <w:rPr>
          <w:rFonts w:ascii="DM Sans" w:hAnsi="DM Sans"/>
          <w:b/>
          <w:bCs/>
          <w:lang w:val="en-GB"/>
        </w:rPr>
        <w:t>Most important guardrails</w:t>
      </w:r>
    </w:p>
    <w:p w14:paraId="57934FB6" w14:textId="77777777" w:rsidR="000E2962" w:rsidRPr="000E2962" w:rsidRDefault="000E2962" w:rsidP="000E2962">
      <w:p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>Keep these visible in cursor-rules.md:</w:t>
      </w:r>
    </w:p>
    <w:p w14:paraId="4965CC4A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StockClarify is a </w:t>
      </w:r>
      <w:r w:rsidRPr="000E2962">
        <w:rPr>
          <w:rFonts w:ascii="DM Sans" w:hAnsi="DM Sans"/>
          <w:b/>
          <w:bCs/>
          <w:lang w:val="en-GB"/>
        </w:rPr>
        <w:t>calm, mobile-first investment companion</w:t>
      </w:r>
      <w:r w:rsidRPr="000E2962">
        <w:rPr>
          <w:rFonts w:ascii="DM Sans" w:hAnsi="DM Sans"/>
          <w:lang w:val="en-GB"/>
        </w:rPr>
        <w:t xml:space="preserve"> </w:t>
      </w:r>
    </w:p>
    <w:p w14:paraId="615AFE2F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The MVP focuses on </w:t>
      </w:r>
      <w:r w:rsidRPr="000E2962">
        <w:rPr>
          <w:rFonts w:ascii="DM Sans" w:hAnsi="DM Sans"/>
          <w:b/>
          <w:bCs/>
          <w:lang w:val="en-GB"/>
        </w:rPr>
        <w:t>watchlists, summaries, digest, alerts</w:t>
      </w:r>
      <w:r w:rsidRPr="000E2962">
        <w:rPr>
          <w:rFonts w:ascii="DM Sans" w:hAnsi="DM Sans"/>
          <w:lang w:val="en-GB"/>
        </w:rPr>
        <w:t xml:space="preserve"> </w:t>
      </w:r>
    </w:p>
    <w:p w14:paraId="7AD63FF7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Prefer </w:t>
      </w:r>
      <w:r w:rsidRPr="000E2962">
        <w:rPr>
          <w:rFonts w:ascii="DM Sans" w:hAnsi="DM Sans"/>
          <w:b/>
          <w:bCs/>
        </w:rPr>
        <w:t>clarity over completeness</w:t>
      </w:r>
      <w:r w:rsidRPr="000E2962">
        <w:rPr>
          <w:rFonts w:ascii="DM Sans" w:hAnsi="DM Sans"/>
        </w:rPr>
        <w:t xml:space="preserve"> </w:t>
      </w:r>
    </w:p>
    <w:p w14:paraId="0860E058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Prefer </w:t>
      </w:r>
      <w:r w:rsidRPr="000E2962">
        <w:rPr>
          <w:rFonts w:ascii="DM Sans" w:hAnsi="DM Sans"/>
          <w:b/>
          <w:bCs/>
          <w:lang w:val="en-GB"/>
        </w:rPr>
        <w:t>plain language over finance jargon</w:t>
      </w:r>
      <w:r w:rsidRPr="000E2962">
        <w:rPr>
          <w:rFonts w:ascii="DM Sans" w:hAnsi="DM Sans"/>
          <w:lang w:val="en-GB"/>
        </w:rPr>
        <w:t xml:space="preserve"> </w:t>
      </w:r>
    </w:p>
    <w:p w14:paraId="078B3BF5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Avoid </w:t>
      </w:r>
      <w:r w:rsidRPr="000E2962">
        <w:rPr>
          <w:rFonts w:ascii="DM Sans" w:hAnsi="DM Sans"/>
          <w:b/>
          <w:bCs/>
        </w:rPr>
        <w:t>trader-terminal UI</w:t>
      </w:r>
      <w:r w:rsidRPr="000E2962">
        <w:rPr>
          <w:rFonts w:ascii="DM Sans" w:hAnsi="DM Sans"/>
        </w:rPr>
        <w:t xml:space="preserve"> </w:t>
      </w:r>
    </w:p>
    <w:p w14:paraId="0387CB06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Do not add </w:t>
      </w:r>
      <w:r w:rsidRPr="000E2962">
        <w:rPr>
          <w:rFonts w:ascii="DM Sans" w:hAnsi="DM Sans"/>
          <w:b/>
          <w:bCs/>
          <w:lang w:val="en-GB"/>
        </w:rPr>
        <w:t>trading or broker flows</w:t>
      </w:r>
      <w:r w:rsidRPr="000E2962">
        <w:rPr>
          <w:rFonts w:ascii="DM Sans" w:hAnsi="DM Sans"/>
          <w:lang w:val="en-GB"/>
        </w:rPr>
        <w:t xml:space="preserve"> in MVP </w:t>
      </w:r>
    </w:p>
    <w:p w14:paraId="0B844E52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Keep TypeScript types explicit </w:t>
      </w:r>
    </w:p>
    <w:p w14:paraId="6DBD488C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</w:rPr>
      </w:pPr>
      <w:r w:rsidRPr="000E2962">
        <w:rPr>
          <w:rFonts w:ascii="DM Sans" w:hAnsi="DM Sans"/>
        </w:rPr>
        <w:t xml:space="preserve">Prefer </w:t>
      </w:r>
      <w:r w:rsidRPr="000E2962">
        <w:rPr>
          <w:rFonts w:ascii="DM Sans" w:hAnsi="DM Sans"/>
          <w:b/>
          <w:bCs/>
        </w:rPr>
        <w:t>simple, maintainable architecture</w:t>
      </w:r>
      <w:r w:rsidRPr="000E2962">
        <w:rPr>
          <w:rFonts w:ascii="DM Sans" w:hAnsi="DM Sans"/>
        </w:rPr>
        <w:t xml:space="preserve"> </w:t>
      </w:r>
    </w:p>
    <w:p w14:paraId="11951BDF" w14:textId="77777777" w:rsidR="000E2962" w:rsidRPr="000E2962" w:rsidRDefault="000E2962" w:rsidP="000E2962">
      <w:pPr>
        <w:numPr>
          <w:ilvl w:val="0"/>
          <w:numId w:val="61"/>
        </w:numPr>
        <w:rPr>
          <w:rFonts w:ascii="DM Sans" w:hAnsi="DM Sans"/>
          <w:lang w:val="en-GB"/>
        </w:rPr>
      </w:pPr>
      <w:r w:rsidRPr="000E2962">
        <w:rPr>
          <w:rFonts w:ascii="DM Sans" w:hAnsi="DM Sans"/>
          <w:lang w:val="en-GB"/>
        </w:rPr>
        <w:t xml:space="preserve">Backend intelligence lives in the </w:t>
      </w:r>
      <w:r w:rsidRPr="000E2962">
        <w:rPr>
          <w:rFonts w:ascii="DM Sans" w:hAnsi="DM Sans"/>
          <w:b/>
          <w:bCs/>
          <w:lang w:val="en-GB"/>
        </w:rPr>
        <w:t>worker</w:t>
      </w:r>
      <w:r w:rsidRPr="000E2962">
        <w:rPr>
          <w:rFonts w:ascii="DM Sans" w:hAnsi="DM Sans"/>
          <w:lang w:val="en-GB"/>
        </w:rPr>
        <w:t>, not the mobile app</w:t>
      </w:r>
    </w:p>
    <w:p w14:paraId="030D5C57" w14:textId="77777777" w:rsidR="00711AE1" w:rsidRPr="000E2962" w:rsidRDefault="00711AE1" w:rsidP="00474DDE">
      <w:pPr>
        <w:rPr>
          <w:rFonts w:ascii="DM Sans" w:hAnsi="DM Sans"/>
          <w:lang w:val="en-GB"/>
        </w:rPr>
      </w:pPr>
    </w:p>
    <w:sectPr w:rsidR="00711AE1" w:rsidRPr="000E2962" w:rsidSect="00BE0571">
      <w:headerReference w:type="even" r:id="rId9"/>
      <w:headerReference w:type="default" r:id="rId10"/>
      <w:footerReference w:type="default" r:id="rId11"/>
      <w:footerReference w:type="first" r:id="rId12"/>
      <w:pgSz w:w="11906" w:h="16838"/>
      <w:pgMar w:top="765" w:right="1077" w:bottom="1928" w:left="1077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82D6" w14:textId="77777777" w:rsidR="004C0F66" w:rsidRPr="00176264" w:rsidRDefault="004C0F66" w:rsidP="00214878">
      <w:pPr>
        <w:spacing w:after="0" w:line="240" w:lineRule="auto"/>
      </w:pPr>
      <w:r w:rsidRPr="00176264">
        <w:separator/>
      </w:r>
    </w:p>
  </w:endnote>
  <w:endnote w:type="continuationSeparator" w:id="0">
    <w:p w14:paraId="554F44E5" w14:textId="77777777" w:rsidR="004C0F66" w:rsidRPr="00176264" w:rsidRDefault="004C0F66" w:rsidP="00214878">
      <w:pPr>
        <w:spacing w:after="0" w:line="240" w:lineRule="auto"/>
      </w:pPr>
      <w:r w:rsidRPr="001762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diz">
    <w:altName w:val="Cambria"/>
    <w:charset w:val="00"/>
    <w:family w:val="auto"/>
    <w:pitch w:val="variable"/>
    <w:sig w:usb0="A00000AF" w:usb1="4000A07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A5FF" w14:textId="77777777" w:rsidR="00666207" w:rsidRPr="007A01F4" w:rsidRDefault="00666207" w:rsidP="007A01F4">
    <w:pPr>
      <w:pStyle w:val="Footer"/>
      <w:spacing w:before="48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ABED" w14:textId="77777777" w:rsidR="007A01F4" w:rsidRDefault="007A01F4" w:rsidP="00113997">
    <w:pPr>
      <w:pStyle w:val="Footer"/>
      <w:spacing w:befor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8BC0" w14:textId="77777777" w:rsidR="004C0F66" w:rsidRPr="00176264" w:rsidRDefault="004C0F66" w:rsidP="00214878">
      <w:pPr>
        <w:spacing w:after="0" w:line="240" w:lineRule="auto"/>
      </w:pPr>
      <w:r w:rsidRPr="00176264">
        <w:separator/>
      </w:r>
    </w:p>
  </w:footnote>
  <w:footnote w:type="continuationSeparator" w:id="0">
    <w:p w14:paraId="58977484" w14:textId="77777777" w:rsidR="004C0F66" w:rsidRPr="00176264" w:rsidRDefault="004C0F66" w:rsidP="00214878">
      <w:pPr>
        <w:spacing w:after="0" w:line="240" w:lineRule="auto"/>
      </w:pPr>
      <w:r w:rsidRPr="0017626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2E1A" w14:textId="77777777" w:rsidR="005E2449" w:rsidRDefault="00113997">
    <w:pPr>
      <w:pStyle w:val="Header"/>
    </w:pPr>
    <w:r>
      <w:rPr>
        <w:noProof/>
      </w:rPr>
      <w:drawing>
        <wp:anchor distT="0" distB="0" distL="114300" distR="114300" simplePos="0" relativeHeight="251663360" behindDoc="0" locked="1" layoutInCell="1" allowOverlap="1" wp14:anchorId="60054AE9" wp14:editId="4617AAD4">
          <wp:simplePos x="0" y="0"/>
          <wp:positionH relativeFrom="column">
            <wp:posOffset>5159693</wp:posOffset>
          </wp:positionH>
          <wp:positionV relativeFrom="page">
            <wp:posOffset>9836150</wp:posOffset>
          </wp:positionV>
          <wp:extent cx="1033200" cy="496800"/>
          <wp:effectExtent l="0" t="0" r="0" b="0"/>
          <wp:wrapSquare wrapText="bothSides"/>
          <wp:docPr id="452407876" name="Picture 1" descr="Advani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18897" name="Picture 1" descr="Advania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3200" cy="49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1D0A" w14:textId="77777777" w:rsidR="00322D4C" w:rsidRPr="00992086" w:rsidRDefault="00322D4C" w:rsidP="00992086">
    <w:pPr>
      <w:pStyle w:val="Header"/>
      <w:spacing w:after="9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72FF0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B3E335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4CB6E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C2966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669E1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2EBB2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46A6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ACCE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92A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23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215"/>
    <w:multiLevelType w:val="multilevel"/>
    <w:tmpl w:val="36E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74A5E"/>
    <w:multiLevelType w:val="multilevel"/>
    <w:tmpl w:val="9EB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B6DEF"/>
    <w:multiLevelType w:val="multilevel"/>
    <w:tmpl w:val="FCB08B68"/>
    <w:numStyleLink w:val="Numberedliststyle"/>
  </w:abstractNum>
  <w:abstractNum w:abstractNumId="13" w15:restartNumberingAfterBreak="0">
    <w:nsid w:val="0AE07559"/>
    <w:multiLevelType w:val="multilevel"/>
    <w:tmpl w:val="3EE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52D1F"/>
    <w:multiLevelType w:val="multilevel"/>
    <w:tmpl w:val="79D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804C9B"/>
    <w:multiLevelType w:val="multilevel"/>
    <w:tmpl w:val="325C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25047"/>
    <w:multiLevelType w:val="multilevel"/>
    <w:tmpl w:val="025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95F27"/>
    <w:multiLevelType w:val="multilevel"/>
    <w:tmpl w:val="F23C7272"/>
    <w:numStyleLink w:val="NumHeading"/>
  </w:abstractNum>
  <w:abstractNum w:abstractNumId="18" w15:restartNumberingAfterBreak="0">
    <w:nsid w:val="0F5566EC"/>
    <w:multiLevelType w:val="multilevel"/>
    <w:tmpl w:val="5DE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B2A14"/>
    <w:multiLevelType w:val="multilevel"/>
    <w:tmpl w:val="1E9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040BD"/>
    <w:multiLevelType w:val="multilevel"/>
    <w:tmpl w:val="A3EE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C6C9D"/>
    <w:multiLevelType w:val="multilevel"/>
    <w:tmpl w:val="22A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B644B"/>
    <w:multiLevelType w:val="multilevel"/>
    <w:tmpl w:val="A58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76F1D"/>
    <w:multiLevelType w:val="multilevel"/>
    <w:tmpl w:val="FB96654A"/>
    <w:numStyleLink w:val="Bulletliststyle"/>
  </w:abstractNum>
  <w:abstractNum w:abstractNumId="24" w15:restartNumberingAfterBreak="0">
    <w:nsid w:val="21834568"/>
    <w:multiLevelType w:val="multilevel"/>
    <w:tmpl w:val="CD6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848D1"/>
    <w:multiLevelType w:val="multilevel"/>
    <w:tmpl w:val="7C4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C08F1"/>
    <w:multiLevelType w:val="multilevel"/>
    <w:tmpl w:val="F23C7272"/>
    <w:numStyleLink w:val="NumHeading"/>
  </w:abstractNum>
  <w:abstractNum w:abstractNumId="27" w15:restartNumberingAfterBreak="0">
    <w:nsid w:val="32ED5F11"/>
    <w:multiLevelType w:val="multilevel"/>
    <w:tmpl w:val="F23C7272"/>
    <w:styleLink w:val="NumHeadi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28" w15:restartNumberingAfterBreak="0">
    <w:nsid w:val="336576BA"/>
    <w:multiLevelType w:val="multilevel"/>
    <w:tmpl w:val="31C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E0889"/>
    <w:multiLevelType w:val="multilevel"/>
    <w:tmpl w:val="616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6E527C"/>
    <w:multiLevelType w:val="multilevel"/>
    <w:tmpl w:val="FB96654A"/>
    <w:styleLink w:val="Bulletliststyle"/>
    <w:lvl w:ilvl="0">
      <w:start w:val="1"/>
      <w:numFmt w:val="bullet"/>
      <w:pStyle w:val="ListBullet"/>
      <w:lvlText w:val=""/>
      <w:lvlJc w:val="left"/>
      <w:pPr>
        <w:tabs>
          <w:tab w:val="num" w:pos="454"/>
        </w:tabs>
        <w:ind w:left="454" w:hanging="454"/>
      </w:pPr>
      <w:rPr>
        <w:rFonts w:ascii="Wingdings 2" w:hAnsi="Wingdings 2" w:hint="default"/>
        <w:color w:val="714AA0" w:themeColor="accent2"/>
        <w:sz w:val="18"/>
      </w:rPr>
    </w:lvl>
    <w:lvl w:ilvl="1">
      <w:start w:val="1"/>
      <w:numFmt w:val="bullet"/>
      <w:lvlText w:val=""/>
      <w:lvlJc w:val="left"/>
      <w:pPr>
        <w:tabs>
          <w:tab w:val="num" w:pos="907"/>
        </w:tabs>
        <w:ind w:left="907" w:hanging="45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852"/>
        </w:tabs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1420"/>
        </w:tabs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</w:abstractNum>
  <w:abstractNum w:abstractNumId="31" w15:restartNumberingAfterBreak="0">
    <w:nsid w:val="36A6410B"/>
    <w:multiLevelType w:val="multilevel"/>
    <w:tmpl w:val="002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27040"/>
    <w:multiLevelType w:val="multilevel"/>
    <w:tmpl w:val="31B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23B00"/>
    <w:multiLevelType w:val="multilevel"/>
    <w:tmpl w:val="639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33188"/>
    <w:multiLevelType w:val="multilevel"/>
    <w:tmpl w:val="E3E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B4EBA"/>
    <w:multiLevelType w:val="multilevel"/>
    <w:tmpl w:val="FCB08B68"/>
    <w:numStyleLink w:val="Numberedliststyle"/>
  </w:abstractNum>
  <w:abstractNum w:abstractNumId="36" w15:restartNumberingAfterBreak="0">
    <w:nsid w:val="3BBD7568"/>
    <w:multiLevelType w:val="multilevel"/>
    <w:tmpl w:val="FCB08B68"/>
    <w:numStyleLink w:val="Numberedliststyle"/>
  </w:abstractNum>
  <w:abstractNum w:abstractNumId="37" w15:restartNumberingAfterBreak="0">
    <w:nsid w:val="3D7F7631"/>
    <w:multiLevelType w:val="multilevel"/>
    <w:tmpl w:val="1A0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446CA"/>
    <w:multiLevelType w:val="multilevel"/>
    <w:tmpl w:val="FB96654A"/>
    <w:numStyleLink w:val="Bulletliststyle"/>
  </w:abstractNum>
  <w:abstractNum w:abstractNumId="39" w15:restartNumberingAfterBreak="0">
    <w:nsid w:val="40ED7FB9"/>
    <w:multiLevelType w:val="multilevel"/>
    <w:tmpl w:val="FCB08B68"/>
    <w:styleLink w:val="Numberedliststyle"/>
    <w:lvl w:ilvl="0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62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871" w:hanging="79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2778"/>
        </w:tabs>
        <w:ind w:left="2778" w:hanging="907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3969"/>
        </w:tabs>
        <w:ind w:left="3969" w:hanging="1191"/>
      </w:pPr>
      <w:rPr>
        <w:rFonts w:hint="default"/>
        <w:color w:val="auto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40" w15:restartNumberingAfterBreak="0">
    <w:nsid w:val="43717E6B"/>
    <w:multiLevelType w:val="multilevel"/>
    <w:tmpl w:val="304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413DEC"/>
    <w:multiLevelType w:val="multilevel"/>
    <w:tmpl w:val="7C8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57126E"/>
    <w:multiLevelType w:val="multilevel"/>
    <w:tmpl w:val="6BB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36391"/>
    <w:multiLevelType w:val="multilevel"/>
    <w:tmpl w:val="189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8209FF"/>
    <w:multiLevelType w:val="multilevel"/>
    <w:tmpl w:val="F23C7272"/>
    <w:numStyleLink w:val="NumHeading"/>
  </w:abstractNum>
  <w:abstractNum w:abstractNumId="45" w15:restartNumberingAfterBreak="0">
    <w:nsid w:val="59AC59C8"/>
    <w:multiLevelType w:val="multilevel"/>
    <w:tmpl w:val="35F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378F1"/>
    <w:multiLevelType w:val="multilevel"/>
    <w:tmpl w:val="00B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1D3917"/>
    <w:multiLevelType w:val="multilevel"/>
    <w:tmpl w:val="CFA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C3204"/>
    <w:multiLevelType w:val="multilevel"/>
    <w:tmpl w:val="EB7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45760"/>
    <w:multiLevelType w:val="multilevel"/>
    <w:tmpl w:val="922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9F00E1"/>
    <w:multiLevelType w:val="multilevel"/>
    <w:tmpl w:val="DCE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2879DD"/>
    <w:multiLevelType w:val="multilevel"/>
    <w:tmpl w:val="FCB08B68"/>
    <w:numStyleLink w:val="Numberedliststyle"/>
  </w:abstractNum>
  <w:abstractNum w:abstractNumId="52" w15:restartNumberingAfterBreak="0">
    <w:nsid w:val="66103AAD"/>
    <w:multiLevelType w:val="multilevel"/>
    <w:tmpl w:val="828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61CF7"/>
    <w:multiLevelType w:val="multilevel"/>
    <w:tmpl w:val="BBD8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6B43FC"/>
    <w:multiLevelType w:val="multilevel"/>
    <w:tmpl w:val="B9C4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F71337"/>
    <w:multiLevelType w:val="multilevel"/>
    <w:tmpl w:val="A5B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326BC1"/>
    <w:multiLevelType w:val="multilevel"/>
    <w:tmpl w:val="3108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B40C0C"/>
    <w:multiLevelType w:val="multilevel"/>
    <w:tmpl w:val="CE4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D47291"/>
    <w:multiLevelType w:val="multilevel"/>
    <w:tmpl w:val="CB3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5B74ED"/>
    <w:multiLevelType w:val="multilevel"/>
    <w:tmpl w:val="13F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91513">
    <w:abstractNumId w:val="27"/>
  </w:num>
  <w:num w:numId="2" w16cid:durableId="2113820779">
    <w:abstractNumId w:val="44"/>
  </w:num>
  <w:num w:numId="3" w16cid:durableId="1465351244">
    <w:abstractNumId w:val="26"/>
  </w:num>
  <w:num w:numId="4" w16cid:durableId="1006596800">
    <w:abstractNumId w:val="9"/>
  </w:num>
  <w:num w:numId="5" w16cid:durableId="516163665">
    <w:abstractNumId w:val="8"/>
  </w:num>
  <w:num w:numId="6" w16cid:durableId="1447192933">
    <w:abstractNumId w:val="39"/>
  </w:num>
  <w:num w:numId="7" w16cid:durableId="50545660">
    <w:abstractNumId w:val="12"/>
  </w:num>
  <w:num w:numId="8" w16cid:durableId="2142797467">
    <w:abstractNumId w:val="35"/>
  </w:num>
  <w:num w:numId="9" w16cid:durableId="1529756030">
    <w:abstractNumId w:val="30"/>
  </w:num>
  <w:num w:numId="10" w16cid:durableId="43722107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5574142">
    <w:abstractNumId w:val="3"/>
  </w:num>
  <w:num w:numId="12" w16cid:durableId="644287001">
    <w:abstractNumId w:val="2"/>
  </w:num>
  <w:num w:numId="13" w16cid:durableId="981815114">
    <w:abstractNumId w:val="1"/>
  </w:num>
  <w:num w:numId="14" w16cid:durableId="1944914534">
    <w:abstractNumId w:val="0"/>
  </w:num>
  <w:num w:numId="15" w16cid:durableId="1819497582">
    <w:abstractNumId w:val="7"/>
  </w:num>
  <w:num w:numId="16" w16cid:durableId="1067995585">
    <w:abstractNumId w:val="6"/>
  </w:num>
  <w:num w:numId="17" w16cid:durableId="877621467">
    <w:abstractNumId w:val="5"/>
  </w:num>
  <w:num w:numId="18" w16cid:durableId="1664385014">
    <w:abstractNumId w:val="4"/>
  </w:num>
  <w:num w:numId="19" w16cid:durableId="500705342">
    <w:abstractNumId w:val="17"/>
  </w:num>
  <w:num w:numId="20" w16cid:durableId="2087798486">
    <w:abstractNumId w:val="38"/>
  </w:num>
  <w:num w:numId="21" w16cid:durableId="514879949">
    <w:abstractNumId w:val="23"/>
  </w:num>
  <w:num w:numId="22" w16cid:durableId="1467232904">
    <w:abstractNumId w:val="36"/>
  </w:num>
  <w:num w:numId="23" w16cid:durableId="2044213127">
    <w:abstractNumId w:val="51"/>
  </w:num>
  <w:num w:numId="24" w16cid:durableId="205070739">
    <w:abstractNumId w:val="15"/>
  </w:num>
  <w:num w:numId="25" w16cid:durableId="1444420277">
    <w:abstractNumId w:val="32"/>
  </w:num>
  <w:num w:numId="26" w16cid:durableId="1092898197">
    <w:abstractNumId w:val="33"/>
  </w:num>
  <w:num w:numId="27" w16cid:durableId="1316374403">
    <w:abstractNumId w:val="14"/>
  </w:num>
  <w:num w:numId="28" w16cid:durableId="906456103">
    <w:abstractNumId w:val="25"/>
  </w:num>
  <w:num w:numId="29" w16cid:durableId="1339846149">
    <w:abstractNumId w:val="57"/>
  </w:num>
  <w:num w:numId="30" w16cid:durableId="431127682">
    <w:abstractNumId w:val="58"/>
  </w:num>
  <w:num w:numId="31" w16cid:durableId="762920140">
    <w:abstractNumId w:val="54"/>
  </w:num>
  <w:num w:numId="32" w16cid:durableId="1511486788">
    <w:abstractNumId w:val="21"/>
  </w:num>
  <w:num w:numId="33" w16cid:durableId="1434280676">
    <w:abstractNumId w:val="19"/>
  </w:num>
  <w:num w:numId="34" w16cid:durableId="1018390015">
    <w:abstractNumId w:val="16"/>
  </w:num>
  <w:num w:numId="35" w16cid:durableId="605693429">
    <w:abstractNumId w:val="31"/>
  </w:num>
  <w:num w:numId="36" w16cid:durableId="239340346">
    <w:abstractNumId w:val="47"/>
  </w:num>
  <w:num w:numId="37" w16cid:durableId="1571646917">
    <w:abstractNumId w:val="46"/>
  </w:num>
  <w:num w:numId="38" w16cid:durableId="1367757965">
    <w:abstractNumId w:val="55"/>
  </w:num>
  <w:num w:numId="39" w16cid:durableId="1454254832">
    <w:abstractNumId w:val="48"/>
  </w:num>
  <w:num w:numId="40" w16cid:durableId="814493140">
    <w:abstractNumId w:val="10"/>
  </w:num>
  <w:num w:numId="41" w16cid:durableId="1272203368">
    <w:abstractNumId w:val="52"/>
  </w:num>
  <w:num w:numId="42" w16cid:durableId="1562789989">
    <w:abstractNumId w:val="11"/>
  </w:num>
  <w:num w:numId="43" w16cid:durableId="510535896">
    <w:abstractNumId w:val="13"/>
  </w:num>
  <w:num w:numId="44" w16cid:durableId="820847594">
    <w:abstractNumId w:val="22"/>
  </w:num>
  <w:num w:numId="45" w16cid:durableId="1600747428">
    <w:abstractNumId w:val="18"/>
  </w:num>
  <w:num w:numId="46" w16cid:durableId="585383947">
    <w:abstractNumId w:val="20"/>
  </w:num>
  <w:num w:numId="47" w16cid:durableId="1692100142">
    <w:abstractNumId w:val="24"/>
  </w:num>
  <w:num w:numId="48" w16cid:durableId="1993633520">
    <w:abstractNumId w:val="42"/>
  </w:num>
  <w:num w:numId="49" w16cid:durableId="1062673182">
    <w:abstractNumId w:val="29"/>
  </w:num>
  <w:num w:numId="50" w16cid:durableId="117843192">
    <w:abstractNumId w:val="59"/>
  </w:num>
  <w:num w:numId="51" w16cid:durableId="1885481267">
    <w:abstractNumId w:val="50"/>
  </w:num>
  <w:num w:numId="52" w16cid:durableId="1203447290">
    <w:abstractNumId w:val="40"/>
  </w:num>
  <w:num w:numId="53" w16cid:durableId="521549035">
    <w:abstractNumId w:val="28"/>
  </w:num>
  <w:num w:numId="54" w16cid:durableId="562565895">
    <w:abstractNumId w:val="41"/>
  </w:num>
  <w:num w:numId="55" w16cid:durableId="781653775">
    <w:abstractNumId w:val="34"/>
  </w:num>
  <w:num w:numId="56" w16cid:durableId="969826923">
    <w:abstractNumId w:val="45"/>
  </w:num>
  <w:num w:numId="57" w16cid:durableId="2034258994">
    <w:abstractNumId w:val="49"/>
  </w:num>
  <w:num w:numId="58" w16cid:durableId="721254283">
    <w:abstractNumId w:val="43"/>
  </w:num>
  <w:num w:numId="59" w16cid:durableId="118961588">
    <w:abstractNumId w:val="56"/>
  </w:num>
  <w:num w:numId="60" w16cid:durableId="1340503205">
    <w:abstractNumId w:val="53"/>
  </w:num>
  <w:num w:numId="61" w16cid:durableId="19165524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73"/>
    <w:rsid w:val="00045C7D"/>
    <w:rsid w:val="00056B47"/>
    <w:rsid w:val="0007619B"/>
    <w:rsid w:val="000B44DC"/>
    <w:rsid w:val="000C3942"/>
    <w:rsid w:val="000E2962"/>
    <w:rsid w:val="00105678"/>
    <w:rsid w:val="00113997"/>
    <w:rsid w:val="00176264"/>
    <w:rsid w:val="001A0C99"/>
    <w:rsid w:val="001B0D5D"/>
    <w:rsid w:val="001B419B"/>
    <w:rsid w:val="00201BC9"/>
    <w:rsid w:val="00202A22"/>
    <w:rsid w:val="00214878"/>
    <w:rsid w:val="002808C7"/>
    <w:rsid w:val="002E5B5D"/>
    <w:rsid w:val="002E5D2E"/>
    <w:rsid w:val="00314D67"/>
    <w:rsid w:val="00322D4C"/>
    <w:rsid w:val="003331A9"/>
    <w:rsid w:val="0033415A"/>
    <w:rsid w:val="0034254A"/>
    <w:rsid w:val="00371920"/>
    <w:rsid w:val="0038202F"/>
    <w:rsid w:val="003C4CE3"/>
    <w:rsid w:val="003F10D6"/>
    <w:rsid w:val="003F765B"/>
    <w:rsid w:val="004155E6"/>
    <w:rsid w:val="004205DF"/>
    <w:rsid w:val="00474DDE"/>
    <w:rsid w:val="004A15ED"/>
    <w:rsid w:val="004C0F66"/>
    <w:rsid w:val="004E75CC"/>
    <w:rsid w:val="00503B83"/>
    <w:rsid w:val="00511743"/>
    <w:rsid w:val="005302A1"/>
    <w:rsid w:val="005327B8"/>
    <w:rsid w:val="00596455"/>
    <w:rsid w:val="005E2449"/>
    <w:rsid w:val="00631EB4"/>
    <w:rsid w:val="00637085"/>
    <w:rsid w:val="00666207"/>
    <w:rsid w:val="00670CF4"/>
    <w:rsid w:val="006D17F5"/>
    <w:rsid w:val="006D3E44"/>
    <w:rsid w:val="006E0A25"/>
    <w:rsid w:val="00711AE1"/>
    <w:rsid w:val="007652FB"/>
    <w:rsid w:val="0078005D"/>
    <w:rsid w:val="007A01F4"/>
    <w:rsid w:val="007C5F4D"/>
    <w:rsid w:val="00830951"/>
    <w:rsid w:val="008358E8"/>
    <w:rsid w:val="00837283"/>
    <w:rsid w:val="00844576"/>
    <w:rsid w:val="008A210E"/>
    <w:rsid w:val="008E26F6"/>
    <w:rsid w:val="008F34EC"/>
    <w:rsid w:val="00992086"/>
    <w:rsid w:val="00A10290"/>
    <w:rsid w:val="00A113A5"/>
    <w:rsid w:val="00A72576"/>
    <w:rsid w:val="00AC5E25"/>
    <w:rsid w:val="00AD0390"/>
    <w:rsid w:val="00AD15D1"/>
    <w:rsid w:val="00AE0CE1"/>
    <w:rsid w:val="00B01B65"/>
    <w:rsid w:val="00B828B5"/>
    <w:rsid w:val="00B856A7"/>
    <w:rsid w:val="00B934E4"/>
    <w:rsid w:val="00BA3862"/>
    <w:rsid w:val="00BB4B84"/>
    <w:rsid w:val="00BE0571"/>
    <w:rsid w:val="00BF7173"/>
    <w:rsid w:val="00C20FB5"/>
    <w:rsid w:val="00C41393"/>
    <w:rsid w:val="00C44A2E"/>
    <w:rsid w:val="00CB5765"/>
    <w:rsid w:val="00D65DBB"/>
    <w:rsid w:val="00DC1154"/>
    <w:rsid w:val="00DE68B0"/>
    <w:rsid w:val="00E03689"/>
    <w:rsid w:val="00E23A97"/>
    <w:rsid w:val="00E4364A"/>
    <w:rsid w:val="00EA7EFD"/>
    <w:rsid w:val="00F318E9"/>
    <w:rsid w:val="00FB7421"/>
    <w:rsid w:val="00FE2D9F"/>
    <w:rsid w:val="00F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646F7"/>
  <w15:chartTrackingRefBased/>
  <w15:docId w15:val="{586E8AB0-CA4E-4986-BC6A-B6EE531E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before="6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19B"/>
  </w:style>
  <w:style w:type="paragraph" w:styleId="Heading1">
    <w:name w:val="heading 1"/>
    <w:basedOn w:val="Normal"/>
    <w:next w:val="Normal"/>
    <w:link w:val="Heading1Char"/>
    <w:uiPriority w:val="9"/>
    <w:qFormat/>
    <w:rsid w:val="001B419B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19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19B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419B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14878"/>
    <w:pPr>
      <w:keepNext/>
      <w:keepLines/>
      <w:spacing w:before="80" w:after="40"/>
      <w:outlineLvl w:val="4"/>
    </w:pPr>
    <w:rPr>
      <w:rFonts w:eastAsiaTheme="majorEastAsia" w:cstheme="majorBidi"/>
      <w:color w:val="B238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1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77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14878"/>
    <w:pPr>
      <w:keepNext/>
      <w:keepLines/>
      <w:spacing w:before="40" w:after="0"/>
      <w:outlineLvl w:val="6"/>
    </w:pPr>
    <w:rPr>
      <w:rFonts w:eastAsiaTheme="majorEastAsia" w:cstheme="majorBidi"/>
      <w:color w:val="75777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14878"/>
    <w:pPr>
      <w:keepNext/>
      <w:keepLines/>
      <w:spacing w:after="0"/>
      <w:outlineLvl w:val="7"/>
    </w:pPr>
    <w:rPr>
      <w:rFonts w:eastAsiaTheme="majorEastAsia" w:cstheme="majorBidi"/>
      <w:i/>
      <w:iCs/>
      <w:color w:val="4C4E4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14878"/>
    <w:pPr>
      <w:keepNext/>
      <w:keepLines/>
      <w:spacing w:after="0"/>
      <w:outlineLvl w:val="8"/>
    </w:pPr>
    <w:rPr>
      <w:rFonts w:eastAsiaTheme="majorEastAsia" w:cstheme="majorBidi"/>
      <w:color w:val="4C4E4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B419B"/>
    <w:rPr>
      <w:rFonts w:asciiTheme="majorHAnsi" w:eastAsiaTheme="majorEastAsia" w:hAnsiTheme="majorHAnsi" w:cstheme="majorBidi"/>
      <w:b/>
      <w:bCs/>
      <w:color w:val="EF4C07" w:themeColor="accen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B419B"/>
    <w:rPr>
      <w:rFonts w:asciiTheme="majorHAnsi" w:eastAsiaTheme="majorEastAsia" w:hAnsiTheme="majorHAnsi" w:cstheme="majorBidi"/>
      <w:b/>
      <w:iCs/>
      <w:color w:val="EF4C07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93"/>
    <w:rPr>
      <w:rFonts w:eastAsiaTheme="majorEastAsia" w:cstheme="majorBidi"/>
      <w:color w:val="B23805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93"/>
    <w:rPr>
      <w:rFonts w:eastAsiaTheme="majorEastAsia" w:cstheme="majorBidi"/>
      <w:i/>
      <w:iCs/>
      <w:color w:val="757777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93"/>
    <w:rPr>
      <w:rFonts w:eastAsiaTheme="majorEastAsia" w:cstheme="majorBidi"/>
      <w:color w:val="757777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93"/>
    <w:rPr>
      <w:rFonts w:eastAsiaTheme="majorEastAsia" w:cstheme="majorBidi"/>
      <w:i/>
      <w:iCs/>
      <w:color w:val="4C4E4E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93"/>
    <w:rPr>
      <w:rFonts w:eastAsiaTheme="majorEastAsia" w:cstheme="majorBidi"/>
      <w:color w:val="4C4E4E" w:themeColor="text1" w:themeTint="D8"/>
      <w:lang w:val="sv-S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E2D9F"/>
    <w:pPr>
      <w:spacing w:before="240" w:line="228" w:lineRule="auto"/>
      <w:contextualSpacing/>
      <w:jc w:val="right"/>
    </w:pPr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9F"/>
    <w:rPr>
      <w:rFonts w:ascii="Cadiz" w:eastAsiaTheme="majorEastAsia" w:hAnsi="Cadiz" w:cstheme="majorBidi"/>
      <w:color w:val="F0EDEA" w:themeColor="background2"/>
      <w:kern w:val="28"/>
      <w:sz w:val="6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EC"/>
    <w:pPr>
      <w:numPr>
        <w:ilvl w:val="1"/>
      </w:numPr>
      <w:contextualSpacing/>
    </w:pPr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F34EC"/>
    <w:rPr>
      <w:rFonts w:asciiTheme="majorHAnsi" w:eastAsiaTheme="majorEastAsia" w:hAnsiTheme="majorHAnsi" w:cstheme="majorBidi"/>
      <w:color w:val="EF4C07" w:themeColor="accent1"/>
      <w:kern w:val="0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qFormat/>
    <w:rsid w:val="001B419B"/>
    <w:pPr>
      <w:spacing w:before="360" w:after="360"/>
    </w:pPr>
    <w:rPr>
      <w:rFonts w:asciiTheme="majorHAnsi" w:hAnsiTheme="majorHAnsi"/>
      <w:noProof/>
      <w:color w:val="714AA0" w:themeColor="accent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B419B"/>
    <w:rPr>
      <w:rFonts w:asciiTheme="majorHAnsi" w:hAnsiTheme="majorHAnsi"/>
      <w:noProof/>
      <w:color w:val="714AA0" w:themeColor="accent2"/>
      <w:lang w:val="en-US"/>
    </w:rPr>
  </w:style>
  <w:style w:type="paragraph" w:styleId="ListParagraph">
    <w:name w:val="List Paragraph"/>
    <w:basedOn w:val="Normal"/>
    <w:uiPriority w:val="34"/>
    <w:semiHidden/>
    <w:qFormat/>
    <w:rsid w:val="00214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14878"/>
    <w:rPr>
      <w:i/>
      <w:iCs/>
      <w:color w:val="B23805" w:themeColor="accent1" w:themeShade="BF"/>
      <w:lang w:val="sv-S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9B"/>
    <w:pPr>
      <w:spacing w:before="480" w:after="480"/>
    </w:pPr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9B"/>
    <w:rPr>
      <w:rFonts w:asciiTheme="majorHAnsi" w:hAnsiTheme="majorHAnsi"/>
      <w:noProof/>
      <w:color w:val="714AA0" w:themeColor="accent2"/>
      <w:sz w:val="36"/>
      <w:szCs w:val="36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214878"/>
    <w:rPr>
      <w:b/>
      <w:bCs/>
      <w:smallCaps/>
      <w:color w:val="B23805" w:themeColor="accent1" w:themeShade="BF"/>
      <w:spacing w:val="5"/>
      <w:lang w:val="sv-SE"/>
    </w:rPr>
  </w:style>
  <w:style w:type="paragraph" w:styleId="Header">
    <w:name w:val="header"/>
    <w:basedOn w:val="Normal"/>
    <w:link w:val="HeaderChar"/>
    <w:uiPriority w:val="99"/>
    <w:unhideWhenUsed/>
    <w:rsid w:val="00992086"/>
    <w:pPr>
      <w:tabs>
        <w:tab w:val="center" w:pos="4513"/>
        <w:tab w:val="right" w:pos="9026"/>
      </w:tabs>
      <w:spacing w:before="0" w:after="0" w:line="240" w:lineRule="auto"/>
    </w:pPr>
    <w:rPr>
      <w:rFonts w:asciiTheme="majorHAnsi" w:hAnsiTheme="majorHAnsi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992086"/>
    <w:rPr>
      <w:rFonts w:asciiTheme="majorHAnsi" w:hAnsiTheme="majorHAnsi"/>
      <w:sz w:val="18"/>
    </w:rPr>
  </w:style>
  <w:style w:type="paragraph" w:styleId="Footer">
    <w:name w:val="footer"/>
    <w:basedOn w:val="Normal"/>
    <w:link w:val="FooterChar"/>
    <w:uiPriority w:val="99"/>
    <w:unhideWhenUsed/>
    <w:rsid w:val="00EA7EFD"/>
    <w:pPr>
      <w:tabs>
        <w:tab w:val="right" w:pos="7938"/>
      </w:tabs>
      <w:spacing w:after="0" w:line="240" w:lineRule="auto"/>
    </w:pPr>
    <w:rPr>
      <w:rFonts w:asciiTheme="majorHAnsi" w:hAnsiTheme="majorHAnsi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A7EFD"/>
    <w:rPr>
      <w:rFonts w:asciiTheme="majorHAnsi" w:hAnsiTheme="majorHAnsi"/>
      <w:sz w:val="16"/>
    </w:rPr>
  </w:style>
  <w:style w:type="numbering" w:customStyle="1" w:styleId="NumHeading">
    <w:name w:val="Num. Heading"/>
    <w:uiPriority w:val="99"/>
    <w:rsid w:val="008F34EC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7626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before="240" w:after="4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</w:style>
  <w:style w:type="paragraph" w:styleId="TOC3">
    <w:name w:val="toc 3"/>
    <w:basedOn w:val="Normal"/>
    <w:next w:val="Normal"/>
    <w:autoRedefine/>
    <w:uiPriority w:val="39"/>
    <w:unhideWhenUsed/>
    <w:rsid w:val="005E2449"/>
    <w:pPr>
      <w:tabs>
        <w:tab w:val="right" w:leader="dot" w:pos="7938"/>
      </w:tabs>
      <w:spacing w:after="20"/>
    </w:pPr>
    <w:rPr>
      <w:noProof/>
    </w:rPr>
  </w:style>
  <w:style w:type="character" w:styleId="Hyperlink">
    <w:name w:val="Hyperlink"/>
    <w:basedOn w:val="DefaultParagraphFont"/>
    <w:uiPriority w:val="99"/>
    <w:unhideWhenUsed/>
    <w:qFormat/>
    <w:rsid w:val="00322D4C"/>
    <w:rPr>
      <w:color w:val="4D68BE" w:themeColor="hyperlink"/>
      <w:u w:val="single"/>
      <w:lang w:val="sv-S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005D"/>
    <w:pPr>
      <w:spacing w:after="0" w:line="240" w:lineRule="auto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005D"/>
    <w:rPr>
      <w:sz w:val="18"/>
      <w:lang w:val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78005D"/>
    <w:rPr>
      <w:vertAlign w:val="superscript"/>
      <w:lang w:val="sv-SE"/>
    </w:rPr>
  </w:style>
  <w:style w:type="table" w:styleId="TableGrid">
    <w:name w:val="Table Grid"/>
    <w:basedOn w:val="TableNormal"/>
    <w:uiPriority w:val="39"/>
    <w:rsid w:val="0078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8005D"/>
    <w:pPr>
      <w:spacing w:before="240" w:line="240" w:lineRule="auto"/>
    </w:pPr>
    <w:rPr>
      <w:i/>
      <w:iCs/>
      <w:color w:val="2D2E2E" w:themeColor="text1"/>
      <w:sz w:val="18"/>
      <w:szCs w:val="18"/>
    </w:rPr>
  </w:style>
  <w:style w:type="table" w:customStyle="1" w:styleId="Standardtabell">
    <w:name w:val="Standardtabell"/>
    <w:basedOn w:val="TableNormal"/>
    <w:uiPriority w:val="99"/>
    <w:rsid w:val="00E4364A"/>
    <w:pPr>
      <w:spacing w:after="0" w:line="240" w:lineRule="auto"/>
    </w:pPr>
    <w:rPr>
      <w:sz w:val="18"/>
    </w:rPr>
    <w:tblPr>
      <w:tblStyleRowBandSize w:val="1"/>
      <w:tblStyleColBandSize w:val="1"/>
      <w:tblCellMar>
        <w:top w:w="28" w:type="dxa"/>
        <w:bottom w:w="28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FAE1FB"/>
      </w:tcPr>
    </w:tblStylePr>
    <w:tblStylePr w:type="lastRow">
      <w:rPr>
        <w:b/>
      </w:rPr>
      <w:tblPr/>
      <w:tcPr>
        <w:tcBorders>
          <w:bottom w:val="single" w:sz="4" w:space="0" w:color="543777" w:themeColor="accent2" w:themeShade="BF"/>
        </w:tcBorders>
      </w:tcPr>
    </w:tblStylePr>
    <w:tblStylePr w:type="firstCol">
      <w:tblPr/>
      <w:tcPr>
        <w:tcBorders>
          <w:left w:val="nil"/>
        </w:tcBorders>
      </w:tcPr>
    </w:tblStylePr>
    <w:tblStylePr w:type="lastCol">
      <w:tblPr/>
      <w:tcPr>
        <w:tcBorders>
          <w:right w:val="nil"/>
        </w:tcBorders>
      </w:tcPr>
    </w:tblStylePr>
    <w:tblStylePr w:type="band1Vert">
      <w:tblPr/>
      <w:tcPr>
        <w:tcBorders>
          <w:left w:val="single" w:sz="4" w:space="0" w:color="543777" w:themeColor="accent2" w:themeShade="BF"/>
          <w:right w:val="single" w:sz="4" w:space="0" w:color="543777" w:themeColor="accent2" w:themeShade="BF"/>
        </w:tcBorders>
      </w:tcPr>
    </w:tblStylePr>
    <w:tblStylePr w:type="band2Vert">
      <w:tblPr/>
      <w:tcPr>
        <w:tcBorders>
          <w:left w:val="nil"/>
          <w:right w:val="nil"/>
        </w:tcBorders>
      </w:tcPr>
    </w:tblStylePr>
    <w:tblStylePr w:type="band1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  <w:tblStylePr w:type="band2Horz">
      <w:tblPr/>
      <w:tcPr>
        <w:tcBorders>
          <w:top w:val="single" w:sz="4" w:space="0" w:color="543777" w:themeColor="accent2" w:themeShade="BF"/>
          <w:bottom w:val="single" w:sz="4" w:space="0" w:color="543777" w:themeColor="accent2" w:themeShade="BF"/>
        </w:tcBorders>
      </w:tcPr>
    </w:tblStylePr>
  </w:style>
  <w:style w:type="paragraph" w:styleId="ListBullet">
    <w:name w:val="List Bullet"/>
    <w:basedOn w:val="Normal"/>
    <w:uiPriority w:val="99"/>
    <w:qFormat/>
    <w:rsid w:val="001B419B"/>
    <w:pPr>
      <w:numPr>
        <w:numId w:val="21"/>
      </w:numPr>
      <w:contextualSpacing/>
    </w:pPr>
  </w:style>
  <w:style w:type="paragraph" w:styleId="ListNumber">
    <w:name w:val="List Number"/>
    <w:basedOn w:val="Normal"/>
    <w:uiPriority w:val="99"/>
    <w:rsid w:val="00474DDE"/>
    <w:pPr>
      <w:numPr>
        <w:numId w:val="23"/>
      </w:numPr>
      <w:contextualSpacing/>
    </w:pPr>
  </w:style>
  <w:style w:type="numbering" w:customStyle="1" w:styleId="Numberedliststyle">
    <w:name w:val="Numbered list style"/>
    <w:uiPriority w:val="99"/>
    <w:rsid w:val="00474DDE"/>
    <w:pPr>
      <w:numPr>
        <w:numId w:val="6"/>
      </w:numPr>
    </w:pPr>
  </w:style>
  <w:style w:type="numbering" w:customStyle="1" w:styleId="Bulletliststyle">
    <w:name w:val="Bullet list style"/>
    <w:uiPriority w:val="99"/>
    <w:rsid w:val="001B419B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unhideWhenUsed/>
    <w:rsid w:val="000C3942"/>
  </w:style>
  <w:style w:type="character" w:styleId="PlaceholderText">
    <w:name w:val="Placeholder Text"/>
    <w:basedOn w:val="DefaultParagraphFont"/>
    <w:uiPriority w:val="99"/>
    <w:semiHidden/>
    <w:rsid w:val="00670CF4"/>
    <w:rPr>
      <w:color w:val="666666"/>
      <w:bdr w:val="none" w:sz="0" w:space="0" w:color="auto"/>
      <w:shd w:val="clear" w:color="auto" w:fill="F2ECFA" w:themeFill="accent5" w:themeFillTint="33"/>
      <w:lang w:val="sv-SE"/>
    </w:rPr>
  </w:style>
  <w:style w:type="paragraph" w:styleId="EnvelopeAddress">
    <w:name w:val="envelope address"/>
    <w:basedOn w:val="Normal"/>
    <w:uiPriority w:val="99"/>
    <w:semiHidden/>
    <w:unhideWhenUsed/>
    <w:rsid w:val="00631EB4"/>
    <w:pPr>
      <w:framePr w:w="7938" w:h="1984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31EB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31EB4"/>
    <w:rPr>
      <w:lang w:val="sv-SE"/>
    </w:rPr>
  </w:style>
  <w:style w:type="character" w:styleId="FollowedHyperlink">
    <w:name w:val="FollowedHyperlink"/>
    <w:basedOn w:val="DefaultParagraphFont"/>
    <w:uiPriority w:val="99"/>
    <w:semiHidden/>
    <w:unhideWhenUsed/>
    <w:rsid w:val="00631EB4"/>
    <w:rPr>
      <w:color w:val="CA71C4" w:themeColor="followedHyperlink"/>
      <w:u w:val="single"/>
      <w:lang w:val="sv-SE"/>
    </w:rPr>
  </w:style>
  <w:style w:type="paragraph" w:styleId="Closing">
    <w:name w:val="Closing"/>
    <w:basedOn w:val="Normal"/>
    <w:link w:val="Closing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31EB4"/>
    <w:rPr>
      <w:lang w:val="sv-SE"/>
    </w:rPr>
  </w:style>
  <w:style w:type="paragraph" w:styleId="EnvelopeReturn">
    <w:name w:val="envelope return"/>
    <w:basedOn w:val="Normal"/>
    <w:uiPriority w:val="99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EB4"/>
    <w:rPr>
      <w:rFonts w:ascii="Segoe UI" w:hAnsi="Segoe UI" w:cs="Segoe UI"/>
      <w:sz w:val="18"/>
      <w:szCs w:val="18"/>
      <w:lang w:val="sv-SE"/>
    </w:rPr>
  </w:style>
  <w:style w:type="character" w:styleId="Emphasis">
    <w:name w:val="Emphasis"/>
    <w:basedOn w:val="DefaultParagraphFont"/>
    <w:uiPriority w:val="20"/>
    <w:semiHidden/>
    <w:qFormat/>
    <w:rsid w:val="00631EB4"/>
    <w:rPr>
      <w:i/>
      <w:iCs/>
      <w:lang w:val="sv-SE"/>
    </w:rPr>
  </w:style>
  <w:style w:type="character" w:styleId="BookTitle">
    <w:name w:val="Book Title"/>
    <w:basedOn w:val="DefaultParagraphFont"/>
    <w:uiPriority w:val="33"/>
    <w:semiHidden/>
    <w:qFormat/>
    <w:rsid w:val="00631EB4"/>
    <w:rPr>
      <w:b/>
      <w:bCs/>
      <w:i/>
      <w:iCs/>
      <w:spacing w:val="5"/>
      <w:lang w:val="sv-SE"/>
    </w:rPr>
  </w:style>
  <w:style w:type="paragraph" w:styleId="BodyText">
    <w:name w:val="Body Text"/>
    <w:basedOn w:val="Normal"/>
    <w:link w:val="BodyTextChar"/>
    <w:uiPriority w:val="99"/>
    <w:semiHidden/>
    <w:unhideWhenUsed/>
    <w:rsid w:val="00631EB4"/>
  </w:style>
  <w:style w:type="character" w:customStyle="1" w:styleId="BodyTextChar">
    <w:name w:val="Body Text Char"/>
    <w:basedOn w:val="DefaultParagraphFont"/>
    <w:link w:val="BodyText"/>
    <w:uiPriority w:val="99"/>
    <w:semiHidden/>
    <w:rsid w:val="00631EB4"/>
    <w:rPr>
      <w:lang w:val="sv-S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31EB4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31EB4"/>
    <w:rPr>
      <w:lang w:val="sv-S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31EB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31EB4"/>
    <w:rPr>
      <w:sz w:val="16"/>
      <w:szCs w:val="16"/>
      <w:lang w:val="sv-S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31EB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31EB4"/>
    <w:rPr>
      <w:lang w:val="sv-S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31EB4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31EB4"/>
    <w:rPr>
      <w:lang w:val="sv-S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31EB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31EB4"/>
    <w:rPr>
      <w:lang w:val="sv-S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31EB4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31EB4"/>
    <w:rPr>
      <w:lang w:val="sv-S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31EB4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31EB4"/>
    <w:rPr>
      <w:sz w:val="16"/>
      <w:szCs w:val="16"/>
      <w:lang w:val="sv-S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31EB4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631EB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31EB4"/>
  </w:style>
  <w:style w:type="character" w:customStyle="1" w:styleId="DateChar">
    <w:name w:val="Date Char"/>
    <w:basedOn w:val="DefaultParagraphFont"/>
    <w:link w:val="Date"/>
    <w:uiPriority w:val="99"/>
    <w:semiHidden/>
    <w:rsid w:val="00631EB4"/>
    <w:rPr>
      <w:lang w:val="sv-SE"/>
    </w:rPr>
  </w:style>
  <w:style w:type="character" w:styleId="SubtleEmphasis">
    <w:name w:val="Subtle Emphasis"/>
    <w:basedOn w:val="DefaultParagraphFont"/>
    <w:uiPriority w:val="19"/>
    <w:semiHidden/>
    <w:qFormat/>
    <w:rsid w:val="00631EB4"/>
    <w:rPr>
      <w:i/>
      <w:iCs/>
      <w:color w:val="616363" w:themeColor="text1" w:themeTint="BF"/>
      <w:lang w:val="sv-SE"/>
    </w:rPr>
  </w:style>
  <w:style w:type="character" w:styleId="SubtleReference">
    <w:name w:val="Subtle Reference"/>
    <w:basedOn w:val="DefaultParagraphFont"/>
    <w:uiPriority w:val="31"/>
    <w:semiHidden/>
    <w:qFormat/>
    <w:rsid w:val="00631EB4"/>
    <w:rPr>
      <w:smallCaps/>
      <w:color w:val="767878" w:themeColor="text1" w:themeTint="A5"/>
      <w:lang w:val="sv-SE"/>
    </w:rPr>
  </w:style>
  <w:style w:type="table" w:styleId="TableSubtle1">
    <w:name w:val="Table Subtle 1"/>
    <w:basedOn w:val="TableNormal"/>
    <w:uiPriority w:val="99"/>
    <w:semiHidden/>
    <w:unhideWhenUsed/>
    <w:rsid w:val="00631EB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31EB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31EB4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31EB4"/>
    <w:rPr>
      <w:rFonts w:ascii="Segoe UI" w:hAnsi="Segoe UI" w:cs="Segoe UI"/>
      <w:sz w:val="16"/>
      <w:szCs w:val="16"/>
      <w:lang w:val="sv-SE"/>
    </w:rPr>
  </w:style>
  <w:style w:type="table" w:styleId="TableElegant">
    <w:name w:val="Table Elegant"/>
    <w:basedOn w:val="TableNormal"/>
    <w:uiPriority w:val="99"/>
    <w:semiHidden/>
    <w:unhideWhenUsed/>
    <w:rsid w:val="00631EB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uiPriority w:val="99"/>
    <w:semiHidden/>
    <w:unhideWhenUsed/>
    <w:rsid w:val="00631EB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31EB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631EB4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631EB4"/>
    <w:rPr>
      <w:lang w:val="sv-S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631EB4"/>
    <w:pPr>
      <w:spacing w:after="0"/>
    </w:pPr>
  </w:style>
  <w:style w:type="table" w:styleId="ColourfulList">
    <w:name w:val="Colorful List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AEAEA" w:themeFill="tex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EECE5" w:themeFill="accent1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0ECF6" w:themeFill="accent2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5A3B7F" w:themeFill="accent2" w:themeFillShade="CC"/>
      </w:tcPr>
    </w:tblStylePr>
    <w:tblStylePr w:type="lastRow">
      <w:rPr>
        <w:b/>
        <w:bCs/>
        <w:color w:val="5A3B7F" w:themeColor="accent2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EFFBF6" w:themeFill="accent3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DC5900" w:themeFill="accent4" w:themeFillShade="CC"/>
      </w:tcPr>
    </w:tblStylePr>
    <w:tblStylePr w:type="lastRow">
      <w:rPr>
        <w:b/>
        <w:bCs/>
        <w:color w:val="DC5900" w:themeColor="accent4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1E8" w:themeFill="accent4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30CE92" w:themeFill="accent3" w:themeFillShade="CC"/>
      </w:tcPr>
    </w:tblStylePr>
    <w:tblStylePr w:type="lastRow">
      <w:rPr>
        <w:b/>
        <w:bCs/>
        <w:color w:val="30CE92" w:themeColor="accent3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8F5FC" w:themeFill="accent5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FF6802" w:themeFill="accent6" w:themeFillShade="CC"/>
      </w:tcPr>
    </w:tblStylePr>
    <w:tblStylePr w:type="lastRow">
      <w:rPr>
        <w:b/>
        <w:bCs/>
        <w:color w:val="FF6802" w:themeColor="accent6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cPr>
      <w:shd w:val="clear" w:color="auto" w:fill="FFF3EC" w:themeFill="accent6" w:themeFillTint="19"/>
    </w:tcPr>
    <w:tblStylePr w:type="firstRow">
      <w:rPr>
        <w:b/>
        <w:bCs/>
        <w:color w:val="FFF4EC" w:themeColor="background1"/>
      </w:rPr>
      <w:tblPr/>
      <w:tcPr>
        <w:tcBorders>
          <w:bottom w:val="single" w:sz="12" w:space="0" w:color="FFF4EC" w:themeColor="background1"/>
        </w:tcBorders>
        <w:shd w:val="clear" w:color="auto" w:fill="9464D8" w:themeFill="accent5" w:themeFillShade="CC"/>
      </w:tcPr>
    </w:tblStylePr>
    <w:tblStylePr w:type="lastRow">
      <w:rPr>
        <w:b/>
        <w:bCs/>
        <w:color w:val="9464D8" w:themeColor="accent5" w:themeShade="CC"/>
      </w:rPr>
      <w:tblPr/>
      <w:tcPr>
        <w:tcBorders>
          <w:top w:val="single" w:sz="12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AEAEA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1B1B1B" w:themeFill="tex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1B1B" w:themeColor="text1" w:themeShade="99"/>
          <w:insideV w:val="nil"/>
        </w:tcBorders>
        <w:shd w:val="clear" w:color="auto" w:fill="1B1B1B" w:themeFill="tex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959797" w:themeFill="tex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EEC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8F2D04" w:themeFill="accent1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2D04" w:themeColor="accent1" w:themeShade="99"/>
          <w:insideV w:val="nil"/>
        </w:tcBorders>
        <w:shd w:val="clear" w:color="auto" w:fill="8F2D04" w:themeFill="accent1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2D04" w:themeFill="accent1" w:themeFillShade="99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BA37F" w:themeFill="accent1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0EC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432C5F" w:themeFill="accent2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2C5F" w:themeColor="accent2" w:themeShade="99"/>
          <w:insideV w:val="nil"/>
        </w:tcBorders>
        <w:shd w:val="clear" w:color="auto" w:fill="432C5F" w:themeFill="accent2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2C5F" w:themeFill="accent2" w:themeFillShade="99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B7A0D3" w:themeFill="accent2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7415" w:themeColor="accent4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FFB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249B6D" w:themeFill="accent3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9B6D" w:themeColor="accent3" w:themeShade="99"/>
          <w:insideV w:val="nil"/>
        </w:tcBorders>
        <w:shd w:val="clear" w:color="auto" w:fill="249B6D" w:themeFill="accent3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9B6D" w:themeFill="accent3" w:themeFillShade="99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64DBAE" w:themeColor="accent3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1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A54200" w:themeFill="accent4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4200" w:themeColor="accent4" w:themeShade="99"/>
          <w:insideV w:val="nil"/>
        </w:tcBorders>
        <w:shd w:val="clear" w:color="auto" w:fill="A54200" w:themeFill="accent4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4200" w:themeFill="accent4" w:themeFillShade="99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B98A" w:themeFill="accent4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FF8F43" w:themeColor="accent6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8F5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6A30BD" w:themeFill="accent5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30BD" w:themeColor="accent5" w:themeShade="99"/>
          <w:insideV w:val="nil"/>
        </w:tcBorders>
        <w:shd w:val="clear" w:color="auto" w:fill="6A30BD" w:themeFill="accent5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30BD" w:themeFill="accent5" w:themeFillShade="99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DFD1F3" w:themeFill="accent5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24" w:space="0" w:color="C0A4E8" w:themeColor="accent5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F3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  <w:color w:val="FFF4EC" w:themeColor="background1"/>
      </w:rPr>
      <w:tblPr/>
      <w:tcPr>
        <w:tcBorders>
          <w:top w:val="single" w:sz="6" w:space="0" w:color="FFF4EC" w:themeColor="background1"/>
        </w:tcBorders>
        <w:shd w:val="clear" w:color="auto" w:fill="C14D00" w:themeFill="accent6" w:themeFillShade="99"/>
      </w:tcPr>
    </w:tblStylePr>
    <w:tblStylePr w:type="fir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14D00" w:themeColor="accent6" w:themeShade="99"/>
          <w:insideV w:val="nil"/>
        </w:tcBorders>
        <w:shd w:val="clear" w:color="auto" w:fill="C14D00" w:themeFill="accent6" w:themeFillShade="99"/>
      </w:tcPr>
    </w:tblStylePr>
    <w:tblStylePr w:type="lastCol">
      <w:rPr>
        <w:color w:val="FFF4EC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4D00" w:themeFill="accent6" w:themeFillShade="99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C7A1" w:themeFill="accent6" w:themeFillTint="7F"/>
      </w:tcPr>
    </w:tblStylePr>
    <w:tblStylePr w:type="neCell">
      <w:rPr>
        <w:color w:val="2D2E2E" w:themeColor="text1"/>
      </w:rPr>
    </w:tblStylePr>
    <w:tblStylePr w:type="nwCell">
      <w:rPr>
        <w:color w:val="2D2E2E" w:themeColor="text1"/>
      </w:rPr>
    </w:tblStylePr>
  </w:style>
  <w:style w:type="table" w:styleId="TableColourful1">
    <w:name w:val="Table Colorful 1"/>
    <w:basedOn w:val="TableNormal"/>
    <w:uiPriority w:val="99"/>
    <w:semiHidden/>
    <w:unhideWhenUsed/>
    <w:rsid w:val="00631EB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631EB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631EB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Grid">
    <w:name w:val="Colorful Grid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</w:rPr>
      <w:tblPr/>
      <w:tcPr>
        <w:shd w:val="clear" w:color="auto" w:fill="AAACAC" w:themeFill="tex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AAACAC" w:themeFill="text1" w:themeFillTint="66"/>
      </w:tcPr>
    </w:tblStylePr>
    <w:tblStylePr w:type="fir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lastCol">
      <w:rPr>
        <w:color w:val="FFF4EC" w:themeColor="background1"/>
      </w:rPr>
      <w:tblPr/>
      <w:tcPr>
        <w:shd w:val="clear" w:color="auto" w:fill="212222" w:themeFill="text1" w:themeFillShade="BF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</w:rPr>
      <w:tblPr/>
      <w:tcPr>
        <w:shd w:val="clear" w:color="auto" w:fill="FCB598" w:themeFill="accent1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CB598" w:themeFill="accent1" w:themeFillTint="66"/>
      </w:tcPr>
    </w:tblStylePr>
    <w:tblStylePr w:type="fir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lastCol">
      <w:rPr>
        <w:color w:val="FFF4EC" w:themeColor="background1"/>
      </w:rPr>
      <w:tblPr/>
      <w:tcPr>
        <w:shd w:val="clear" w:color="auto" w:fill="B23805" w:themeFill="accent1" w:themeFillShade="BF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</w:rPr>
      <w:tblPr/>
      <w:tcPr>
        <w:shd w:val="clear" w:color="auto" w:fill="C5B3DC" w:themeFill="accent2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5B3DC" w:themeFill="accent2" w:themeFillTint="66"/>
      </w:tcPr>
    </w:tblStylePr>
    <w:tblStylePr w:type="fir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lastCol">
      <w:rPr>
        <w:color w:val="FFF4EC" w:themeColor="background1"/>
      </w:rPr>
      <w:tblPr/>
      <w:tcPr>
        <w:shd w:val="clear" w:color="auto" w:fill="543777" w:themeFill="accent2" w:themeFillShade="BF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</w:rPr>
      <w:tblPr/>
      <w:tcPr>
        <w:shd w:val="clear" w:color="auto" w:fill="C0F0DE" w:themeFill="accent3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C0F0DE" w:themeFill="accent3" w:themeFillTint="66"/>
      </w:tcPr>
    </w:tblStylePr>
    <w:tblStylePr w:type="fir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lastCol">
      <w:rPr>
        <w:color w:val="FFF4EC" w:themeColor="background1"/>
      </w:rPr>
      <w:tblPr/>
      <w:tcPr>
        <w:shd w:val="clear" w:color="auto" w:fill="2DC189" w:themeFill="accent3" w:themeFillShade="BF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</w:rPr>
      <w:tblPr/>
      <w:tcPr>
        <w:shd w:val="clear" w:color="auto" w:fill="FFC7A1" w:themeFill="accent4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C7A1" w:themeFill="accent4" w:themeFillTint="66"/>
      </w:tcPr>
    </w:tblStylePr>
    <w:tblStylePr w:type="fir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lastCol">
      <w:rPr>
        <w:color w:val="FFF4EC" w:themeColor="background1"/>
      </w:rPr>
      <w:tblPr/>
      <w:tcPr>
        <w:shd w:val="clear" w:color="auto" w:fill="CE5300" w:themeFill="accent4" w:themeFillShade="BF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</w:rPr>
      <w:tblPr/>
      <w:tcPr>
        <w:shd w:val="clear" w:color="auto" w:fill="E5DAF5" w:themeFill="accent5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E5DAF5" w:themeFill="accent5" w:themeFillTint="66"/>
      </w:tcPr>
    </w:tblStylePr>
    <w:tblStylePr w:type="fir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lastCol">
      <w:rPr>
        <w:color w:val="FFF4EC" w:themeColor="background1"/>
      </w:rPr>
      <w:tblPr/>
      <w:tcPr>
        <w:shd w:val="clear" w:color="auto" w:fill="8854D4" w:themeFill="accent5" w:themeFillShade="BF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insideH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</w:rPr>
      <w:tblPr/>
      <w:tcPr>
        <w:shd w:val="clear" w:color="auto" w:fill="FFD2B3" w:themeFill="accent6" w:themeFillTint="66"/>
      </w:tcPr>
    </w:tblStylePr>
    <w:tblStylePr w:type="lastRow">
      <w:rPr>
        <w:b/>
        <w:bCs/>
        <w:color w:val="2D2E2E" w:themeColor="text1"/>
      </w:rPr>
      <w:tblPr/>
      <w:tcPr>
        <w:shd w:val="clear" w:color="auto" w:fill="FFD2B3" w:themeFill="accent6" w:themeFillTint="66"/>
      </w:tcPr>
    </w:tblStylePr>
    <w:tblStylePr w:type="fir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lastCol">
      <w:rPr>
        <w:color w:val="FFF4EC" w:themeColor="background1"/>
      </w:rPr>
      <w:tblPr/>
      <w:tcPr>
        <w:shd w:val="clear" w:color="auto" w:fill="F16100" w:themeFill="accent6" w:themeFillShade="BF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character" w:styleId="Hashtag">
    <w:name w:val="Hashtag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31EB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31EB4"/>
    <w:rPr>
      <w:i/>
      <w:iCs/>
      <w:lang w:val="sv-SE"/>
    </w:rPr>
  </w:style>
  <w:style w:type="character" w:styleId="HTMLAcronym">
    <w:name w:val="HTML Acronym"/>
    <w:basedOn w:val="DefaultParagraphFont"/>
    <w:uiPriority w:val="99"/>
    <w:semiHidden/>
    <w:unhideWhenUsed/>
    <w:rsid w:val="00631EB4"/>
    <w:rPr>
      <w:lang w:val="sv-SE"/>
    </w:rPr>
  </w:style>
  <w:style w:type="character" w:styleId="HTMLCite">
    <w:name w:val="HTML Cite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Definition">
    <w:name w:val="HTML Definition"/>
    <w:basedOn w:val="DefaultParagraphFont"/>
    <w:uiPriority w:val="99"/>
    <w:semiHidden/>
    <w:unhideWhenUsed/>
    <w:rsid w:val="00631EB4"/>
    <w:rPr>
      <w:i/>
      <w:iCs/>
      <w:lang w:val="sv-SE"/>
    </w:rPr>
  </w:style>
  <w:style w:type="character" w:styleId="HTMLSample">
    <w:name w:val="HTML Sample"/>
    <w:basedOn w:val="DefaultParagraphFont"/>
    <w:uiPriority w:val="99"/>
    <w:semiHidden/>
    <w:unhideWhenUsed/>
    <w:rsid w:val="00631EB4"/>
    <w:rPr>
      <w:rFonts w:ascii="Consolas" w:hAnsi="Consolas"/>
      <w:sz w:val="24"/>
      <w:szCs w:val="24"/>
      <w:lang w:val="sv-S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EB4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EB4"/>
    <w:rPr>
      <w:rFonts w:ascii="Consolas" w:hAnsi="Consolas"/>
      <w:lang w:val="sv-SE"/>
    </w:rPr>
  </w:style>
  <w:style w:type="character" w:styleId="HTMLCode">
    <w:name w:val="HTML Code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Typewriter">
    <w:name w:val="HTML Typewriter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Keyboard">
    <w:name w:val="HTML Keyboard"/>
    <w:basedOn w:val="DefaultParagraphFont"/>
    <w:uiPriority w:val="99"/>
    <w:semiHidden/>
    <w:unhideWhenUsed/>
    <w:rsid w:val="00631EB4"/>
    <w:rPr>
      <w:rFonts w:ascii="Consolas" w:hAnsi="Consolas"/>
      <w:sz w:val="20"/>
      <w:szCs w:val="20"/>
      <w:lang w:val="sv-SE"/>
    </w:rPr>
  </w:style>
  <w:style w:type="character" w:styleId="HTMLVariable">
    <w:name w:val="HTML Variable"/>
    <w:basedOn w:val="DefaultParagraphFont"/>
    <w:uiPriority w:val="99"/>
    <w:semiHidden/>
    <w:unhideWhenUsed/>
    <w:rsid w:val="00631EB4"/>
    <w:rPr>
      <w:i/>
      <w:iCs/>
      <w:lang w:val="sv-S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31EB4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31EB4"/>
    <w:rPr>
      <w:rFonts w:asciiTheme="majorHAnsi" w:eastAsiaTheme="majorEastAsia" w:hAnsiTheme="majorHAnsi" w:cstheme="majorBidi"/>
      <w:b/>
      <w:bCs/>
    </w:rPr>
  </w:style>
  <w:style w:type="paragraph" w:styleId="BlockText">
    <w:name w:val="Block Text"/>
    <w:basedOn w:val="Normal"/>
    <w:uiPriority w:val="99"/>
    <w:semiHidden/>
    <w:unhideWhenUsed/>
    <w:rsid w:val="00631EB4"/>
    <w:pPr>
      <w:pBdr>
        <w:top w:val="single" w:sz="2" w:space="10" w:color="EF4C07" w:themeColor="accent1"/>
        <w:left w:val="single" w:sz="2" w:space="10" w:color="EF4C07" w:themeColor="accent1"/>
        <w:bottom w:val="single" w:sz="2" w:space="10" w:color="EF4C07" w:themeColor="accent1"/>
        <w:right w:val="single" w:sz="2" w:space="10" w:color="EF4C07" w:themeColor="accent1"/>
      </w:pBdr>
      <w:ind w:left="1152" w:right="1152"/>
    </w:pPr>
    <w:rPr>
      <w:rFonts w:eastAsiaTheme="minorEastAsia"/>
      <w:i/>
      <w:iCs/>
      <w:color w:val="EF4C07" w:themeColor="accent1"/>
    </w:rPr>
  </w:style>
  <w:style w:type="paragraph" w:styleId="NoSpacing">
    <w:name w:val="No Spacing"/>
    <w:uiPriority w:val="1"/>
    <w:qFormat/>
    <w:rsid w:val="00631EB4"/>
    <w:pPr>
      <w:spacing w:after="0" w:line="240" w:lineRule="auto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31EB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31EB4"/>
    <w:rPr>
      <w:lang w:val="sv-SE"/>
    </w:rPr>
  </w:style>
  <w:style w:type="paragraph" w:styleId="TOC4">
    <w:name w:val="toc 4"/>
    <w:basedOn w:val="Normal"/>
    <w:next w:val="Normal"/>
    <w:autoRedefine/>
    <w:uiPriority w:val="39"/>
    <w:semiHidden/>
    <w:rsid w:val="005E2449"/>
    <w:pPr>
      <w:tabs>
        <w:tab w:val="right" w:leader="dot" w:pos="7938"/>
      </w:tabs>
      <w:spacing w:after="100"/>
      <w:ind w:left="601"/>
    </w:pPr>
  </w:style>
  <w:style w:type="paragraph" w:styleId="TOC5">
    <w:name w:val="toc 5"/>
    <w:basedOn w:val="Normal"/>
    <w:next w:val="Normal"/>
    <w:autoRedefine/>
    <w:uiPriority w:val="39"/>
    <w:semiHidden/>
    <w:rsid w:val="005E2449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631EB4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631EB4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631EB4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631EB4"/>
    <w:pPr>
      <w:spacing w:after="100"/>
      <w:ind w:left="160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631EB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EB4"/>
    <w:rPr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631EB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E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EB4"/>
    <w:rPr>
      <w:b/>
      <w:bCs/>
      <w:lang w:val="sv-SE"/>
    </w:rPr>
  </w:style>
  <w:style w:type="paragraph" w:styleId="List">
    <w:name w:val="List"/>
    <w:basedOn w:val="Normal"/>
    <w:uiPriority w:val="99"/>
    <w:semiHidden/>
    <w:unhideWhenUsed/>
    <w:rsid w:val="00631EB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31EB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31EB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31EB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31EB4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631EB4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31EB4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31EB4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31EB4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31EB4"/>
    <w:pPr>
      <w:ind w:left="1415"/>
      <w:contextualSpacing/>
    </w:pPr>
  </w:style>
  <w:style w:type="table" w:styleId="ListTable1Light">
    <w:name w:val="List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2">
    <w:name w:val="List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bottom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bottom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bottom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bottom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bottom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bottom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bottom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3">
    <w:name w:val="List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2D2E2E" w:themeColor="text1"/>
        <w:left w:val="single" w:sz="4" w:space="0" w:color="2D2E2E" w:themeColor="text1"/>
        <w:bottom w:val="single" w:sz="4" w:space="0" w:color="2D2E2E" w:themeColor="text1"/>
        <w:right w:val="single" w:sz="4" w:space="0" w:color="2D2E2E" w:themeColor="tex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2D2E2E" w:themeColor="text1"/>
          <w:right w:val="single" w:sz="4" w:space="0" w:color="2D2E2E" w:themeColor="text1"/>
        </w:tcBorders>
      </w:tcPr>
    </w:tblStylePr>
    <w:tblStylePr w:type="band1Horz">
      <w:tblPr/>
      <w:tcPr>
        <w:tcBorders>
          <w:top w:val="single" w:sz="4" w:space="0" w:color="2D2E2E" w:themeColor="text1"/>
          <w:bottom w:val="single" w:sz="4" w:space="0" w:color="2D2E2E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D2E2E" w:themeColor="text1"/>
          <w:left w:val="nil"/>
        </w:tcBorders>
      </w:tcPr>
    </w:tblStylePr>
    <w:tblStylePr w:type="swCell">
      <w:tblPr/>
      <w:tcPr>
        <w:tcBorders>
          <w:top w:val="double" w:sz="4" w:space="0" w:color="2D2E2E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F4C07" w:themeColor="accent1"/>
        <w:left w:val="single" w:sz="4" w:space="0" w:color="EF4C07" w:themeColor="accent1"/>
        <w:bottom w:val="single" w:sz="4" w:space="0" w:color="EF4C07" w:themeColor="accent1"/>
        <w:right w:val="single" w:sz="4" w:space="0" w:color="EF4C07" w:themeColor="accent1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EF4C07" w:themeColor="accent1"/>
          <w:right w:val="single" w:sz="4" w:space="0" w:color="EF4C07" w:themeColor="accent1"/>
        </w:tcBorders>
      </w:tcPr>
    </w:tblStylePr>
    <w:tblStylePr w:type="band1Horz">
      <w:tblPr/>
      <w:tcPr>
        <w:tcBorders>
          <w:top w:val="single" w:sz="4" w:space="0" w:color="EF4C07" w:themeColor="accent1"/>
          <w:bottom w:val="single" w:sz="4" w:space="0" w:color="EF4C0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4C07" w:themeColor="accent1"/>
          <w:left w:val="nil"/>
        </w:tcBorders>
      </w:tcPr>
    </w:tblStylePr>
    <w:tblStylePr w:type="swCell">
      <w:tblPr/>
      <w:tcPr>
        <w:tcBorders>
          <w:top w:val="double" w:sz="4" w:space="0" w:color="EF4C0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14AA0" w:themeColor="accent2"/>
        <w:left w:val="single" w:sz="4" w:space="0" w:color="714AA0" w:themeColor="accent2"/>
        <w:bottom w:val="single" w:sz="4" w:space="0" w:color="714AA0" w:themeColor="accent2"/>
        <w:right w:val="single" w:sz="4" w:space="0" w:color="714AA0" w:themeColor="accent2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714AA0" w:themeColor="accent2"/>
          <w:right w:val="single" w:sz="4" w:space="0" w:color="714AA0" w:themeColor="accent2"/>
        </w:tcBorders>
      </w:tcPr>
    </w:tblStylePr>
    <w:tblStylePr w:type="band1Horz">
      <w:tblPr/>
      <w:tcPr>
        <w:tcBorders>
          <w:top w:val="single" w:sz="4" w:space="0" w:color="714AA0" w:themeColor="accent2"/>
          <w:bottom w:val="single" w:sz="4" w:space="0" w:color="714A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14AA0" w:themeColor="accent2"/>
          <w:left w:val="nil"/>
        </w:tcBorders>
      </w:tcPr>
    </w:tblStylePr>
    <w:tblStylePr w:type="swCell">
      <w:tblPr/>
      <w:tcPr>
        <w:tcBorders>
          <w:top w:val="double" w:sz="4" w:space="0" w:color="714AA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64DBAE" w:themeColor="accent3"/>
        <w:left w:val="single" w:sz="4" w:space="0" w:color="64DBAE" w:themeColor="accent3"/>
        <w:bottom w:val="single" w:sz="4" w:space="0" w:color="64DBAE" w:themeColor="accent3"/>
        <w:right w:val="single" w:sz="4" w:space="0" w:color="64DBAE" w:themeColor="accent3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64DBAE" w:themeColor="accent3"/>
          <w:right w:val="single" w:sz="4" w:space="0" w:color="64DBAE" w:themeColor="accent3"/>
        </w:tcBorders>
      </w:tcPr>
    </w:tblStylePr>
    <w:tblStylePr w:type="band1Horz">
      <w:tblPr/>
      <w:tcPr>
        <w:tcBorders>
          <w:top w:val="single" w:sz="4" w:space="0" w:color="64DBAE" w:themeColor="accent3"/>
          <w:bottom w:val="single" w:sz="4" w:space="0" w:color="64DBA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DBAE" w:themeColor="accent3"/>
          <w:left w:val="nil"/>
        </w:tcBorders>
      </w:tcPr>
    </w:tblStylePr>
    <w:tblStylePr w:type="swCell">
      <w:tblPr/>
      <w:tcPr>
        <w:tcBorders>
          <w:top w:val="double" w:sz="4" w:space="0" w:color="64DBA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7415" w:themeColor="accent4"/>
        <w:left w:val="single" w:sz="4" w:space="0" w:color="FF7415" w:themeColor="accent4"/>
        <w:bottom w:val="single" w:sz="4" w:space="0" w:color="FF7415" w:themeColor="accent4"/>
        <w:right w:val="single" w:sz="4" w:space="0" w:color="FF7415" w:themeColor="accent4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7415" w:themeColor="accent4"/>
          <w:right w:val="single" w:sz="4" w:space="0" w:color="FF7415" w:themeColor="accent4"/>
        </w:tcBorders>
      </w:tcPr>
    </w:tblStylePr>
    <w:tblStylePr w:type="band1Horz">
      <w:tblPr/>
      <w:tcPr>
        <w:tcBorders>
          <w:top w:val="single" w:sz="4" w:space="0" w:color="FF7415" w:themeColor="accent4"/>
          <w:bottom w:val="single" w:sz="4" w:space="0" w:color="FF741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415" w:themeColor="accent4"/>
          <w:left w:val="nil"/>
        </w:tcBorders>
      </w:tcPr>
    </w:tblStylePr>
    <w:tblStylePr w:type="swCell">
      <w:tblPr/>
      <w:tcPr>
        <w:tcBorders>
          <w:top w:val="double" w:sz="4" w:space="0" w:color="FF741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A4E8" w:themeColor="accent5"/>
        <w:left w:val="single" w:sz="4" w:space="0" w:color="C0A4E8" w:themeColor="accent5"/>
        <w:bottom w:val="single" w:sz="4" w:space="0" w:color="C0A4E8" w:themeColor="accent5"/>
        <w:right w:val="single" w:sz="4" w:space="0" w:color="C0A4E8" w:themeColor="accent5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C0A4E8" w:themeColor="accent5"/>
          <w:right w:val="single" w:sz="4" w:space="0" w:color="C0A4E8" w:themeColor="accent5"/>
        </w:tcBorders>
      </w:tcPr>
    </w:tblStylePr>
    <w:tblStylePr w:type="band1Horz">
      <w:tblPr/>
      <w:tcPr>
        <w:tcBorders>
          <w:top w:val="single" w:sz="4" w:space="0" w:color="C0A4E8" w:themeColor="accent5"/>
          <w:bottom w:val="single" w:sz="4" w:space="0" w:color="C0A4E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A4E8" w:themeColor="accent5"/>
          <w:left w:val="nil"/>
        </w:tcBorders>
      </w:tcPr>
    </w:tblStylePr>
    <w:tblStylePr w:type="swCell">
      <w:tblPr/>
      <w:tcPr>
        <w:tcBorders>
          <w:top w:val="double" w:sz="4" w:space="0" w:color="C0A4E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8F43" w:themeColor="accent6"/>
        <w:left w:val="single" w:sz="4" w:space="0" w:color="FF8F43" w:themeColor="accent6"/>
        <w:bottom w:val="single" w:sz="4" w:space="0" w:color="FF8F43" w:themeColor="accent6"/>
        <w:right w:val="single" w:sz="4" w:space="0" w:color="FF8F43" w:themeColor="accent6"/>
      </w:tblBorders>
    </w:tblPr>
    <w:tblStylePr w:type="firstRow"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  <w:shd w:val="clear" w:color="auto" w:fill="FFF4EC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4EC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4EC" w:themeFill="background1"/>
      </w:tcPr>
    </w:tblStylePr>
    <w:tblStylePr w:type="band1Vert">
      <w:tblPr/>
      <w:tcPr>
        <w:tcBorders>
          <w:left w:val="single" w:sz="4" w:space="0" w:color="FF8F43" w:themeColor="accent6"/>
          <w:right w:val="single" w:sz="4" w:space="0" w:color="FF8F43" w:themeColor="accent6"/>
        </w:tcBorders>
      </w:tcPr>
    </w:tblStylePr>
    <w:tblStylePr w:type="band1Horz">
      <w:tblPr/>
      <w:tcPr>
        <w:tcBorders>
          <w:top w:val="single" w:sz="4" w:space="0" w:color="FF8F43" w:themeColor="accent6"/>
          <w:bottom w:val="single" w:sz="4" w:space="0" w:color="FF8F4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F43" w:themeColor="accent6"/>
          <w:left w:val="nil"/>
        </w:tcBorders>
      </w:tcPr>
    </w:tblStylePr>
    <w:tblStylePr w:type="swCell">
      <w:tblPr/>
      <w:tcPr>
        <w:tcBorders>
          <w:top w:val="double" w:sz="4" w:space="0" w:color="FF8F4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2D2E2E" w:themeColor="text1"/>
        <w:left w:val="single" w:sz="24" w:space="0" w:color="2D2E2E" w:themeColor="text1"/>
        <w:bottom w:val="single" w:sz="24" w:space="0" w:color="2D2E2E" w:themeColor="text1"/>
        <w:right w:val="single" w:sz="24" w:space="0" w:color="2D2E2E" w:themeColor="text1"/>
      </w:tblBorders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EF4C07" w:themeColor="accent1"/>
        <w:left w:val="single" w:sz="24" w:space="0" w:color="EF4C07" w:themeColor="accent1"/>
        <w:bottom w:val="single" w:sz="24" w:space="0" w:color="EF4C07" w:themeColor="accent1"/>
        <w:right w:val="single" w:sz="24" w:space="0" w:color="EF4C07" w:themeColor="accent1"/>
      </w:tblBorders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714AA0" w:themeColor="accent2"/>
        <w:left w:val="single" w:sz="24" w:space="0" w:color="714AA0" w:themeColor="accent2"/>
        <w:bottom w:val="single" w:sz="24" w:space="0" w:color="714AA0" w:themeColor="accent2"/>
        <w:right w:val="single" w:sz="24" w:space="0" w:color="714AA0" w:themeColor="accent2"/>
      </w:tblBorders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64DBAE" w:themeColor="accent3"/>
        <w:left w:val="single" w:sz="24" w:space="0" w:color="64DBAE" w:themeColor="accent3"/>
        <w:bottom w:val="single" w:sz="24" w:space="0" w:color="64DBAE" w:themeColor="accent3"/>
        <w:right w:val="single" w:sz="24" w:space="0" w:color="64DBAE" w:themeColor="accent3"/>
      </w:tblBorders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7415" w:themeColor="accent4"/>
        <w:left w:val="single" w:sz="24" w:space="0" w:color="FF7415" w:themeColor="accent4"/>
        <w:bottom w:val="single" w:sz="24" w:space="0" w:color="FF7415" w:themeColor="accent4"/>
        <w:right w:val="single" w:sz="24" w:space="0" w:color="FF7415" w:themeColor="accent4"/>
      </w:tblBorders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C0A4E8" w:themeColor="accent5"/>
        <w:left w:val="single" w:sz="24" w:space="0" w:color="C0A4E8" w:themeColor="accent5"/>
        <w:bottom w:val="single" w:sz="24" w:space="0" w:color="C0A4E8" w:themeColor="accent5"/>
        <w:right w:val="single" w:sz="24" w:space="0" w:color="C0A4E8" w:themeColor="accent5"/>
      </w:tblBorders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  <w:tblBorders>
        <w:top w:val="single" w:sz="24" w:space="0" w:color="FF8F43" w:themeColor="accent6"/>
        <w:left w:val="single" w:sz="24" w:space="0" w:color="FF8F43" w:themeColor="accent6"/>
        <w:bottom w:val="single" w:sz="24" w:space="0" w:color="FF8F43" w:themeColor="accent6"/>
        <w:right w:val="single" w:sz="24" w:space="0" w:color="FF8F43" w:themeColor="accent6"/>
      </w:tblBorders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bottom w:val="single" w:sz="18" w:space="0" w:color="FFF4EC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4EC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4EC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4EC" w:themeColor="background1"/>
        </w:tcBorders>
      </w:tcPr>
    </w:tblStylePr>
    <w:tblStylePr w:type="band1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2Vert">
      <w:tblPr/>
      <w:tcPr>
        <w:tcBorders>
          <w:left w:val="single" w:sz="4" w:space="0" w:color="FFF4EC" w:themeColor="background1"/>
          <w:right w:val="single" w:sz="4" w:space="0" w:color="FFF4EC" w:themeColor="background1"/>
        </w:tcBorders>
      </w:tcPr>
    </w:tblStylePr>
    <w:tblStylePr w:type="band1Horz">
      <w:tblPr/>
      <w:tcPr>
        <w:tcBorders>
          <w:top w:val="single" w:sz="4" w:space="0" w:color="FFF4EC" w:themeColor="background1"/>
          <w:bottom w:val="single" w:sz="4" w:space="0" w:color="FFF4EC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2D2E2E" w:themeColor="text1"/>
        <w:bottom w:val="single" w:sz="4" w:space="0" w:color="2D2E2E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D2E2E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EF4C07" w:themeColor="accent1"/>
        <w:bottom w:val="single" w:sz="4" w:space="0" w:color="EF4C0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F4C0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714AA0" w:themeColor="accent2"/>
        <w:bottom w:val="single" w:sz="4" w:space="0" w:color="714A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14A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64DBAE" w:themeColor="accent3"/>
        <w:bottom w:val="single" w:sz="4" w:space="0" w:color="64DBA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4DBA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7415" w:themeColor="accent4"/>
        <w:bottom w:val="single" w:sz="4" w:space="0" w:color="FF741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41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C0A4E8" w:themeColor="accent5"/>
        <w:bottom w:val="single" w:sz="4" w:space="0" w:color="C0A4E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0A4E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8F43" w:themeColor="accent6"/>
        <w:bottom w:val="single" w:sz="4" w:space="0" w:color="FF8F4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8F4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D2E2E" w:themeColor="tex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D2E2E" w:themeColor="tex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D2E2E" w:themeColor="tex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D2E2E" w:themeColor="text1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4C07" w:themeColor="accent1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4C07" w:themeColor="accent1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4C07" w:themeColor="accent1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4C07" w:themeColor="accent1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14AA0" w:themeColor="accent2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14AA0" w:themeColor="accent2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14AA0" w:themeColor="accent2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14AA0" w:themeColor="accent2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DBAE" w:themeColor="accent3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DBAE" w:themeColor="accent3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DBAE" w:themeColor="accent3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DBAE" w:themeColor="accent3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415" w:themeColor="accent4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415" w:themeColor="accent4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415" w:themeColor="accent4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415" w:themeColor="accent4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A4E8" w:themeColor="accent5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A4E8" w:themeColor="accent5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A4E8" w:themeColor="accent5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A4E8" w:themeColor="accent5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F43" w:themeColor="accent6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F43" w:themeColor="accent6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F43" w:themeColor="accent6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F43" w:themeColor="accent6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31EB4"/>
    <w:pPr>
      <w:spacing w:after="0" w:line="240" w:lineRule="auto"/>
    </w:pPr>
    <w:rPr>
      <w:color w:val="212222" w:themeColor="text1" w:themeShade="BF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2E2E" w:themeColor="text1"/>
          <w:left w:val="nil"/>
          <w:bottom w:val="single" w:sz="8" w:space="0" w:color="2D2E2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4C07" w:themeColor="accent1"/>
          <w:left w:val="nil"/>
          <w:bottom w:val="single" w:sz="8" w:space="0" w:color="EF4C0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14AA0" w:themeColor="accent2"/>
          <w:left w:val="nil"/>
          <w:bottom w:val="single" w:sz="8" w:space="0" w:color="714A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DBAE" w:themeColor="accent3"/>
          <w:left w:val="nil"/>
          <w:bottom w:val="single" w:sz="8" w:space="0" w:color="64DBA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415" w:themeColor="accent4"/>
          <w:left w:val="nil"/>
          <w:bottom w:val="single" w:sz="8" w:space="0" w:color="FF741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A4E8" w:themeColor="accent5"/>
          <w:left w:val="nil"/>
          <w:bottom w:val="single" w:sz="8" w:space="0" w:color="C0A4E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F43" w:themeColor="accent6"/>
          <w:left w:val="nil"/>
          <w:bottom w:val="single" w:sz="8" w:space="0" w:color="FF8F4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1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H w:val="nil"/>
          <w:insideV w:val="single" w:sz="8" w:space="0" w:color="2D2E2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</w:tcPr>
    </w:tblStylePr>
    <w:tblStylePr w:type="band1Vert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  <w:shd w:val="clear" w:color="auto" w:fill="CACBCB" w:themeFill="text1" w:themeFillTint="3F"/>
      </w:tcPr>
    </w:tblStylePr>
    <w:tblStylePr w:type="band2Horz">
      <w:tblPr/>
      <w:tcPr>
        <w:tcBorders>
          <w:top w:val="single" w:sz="8" w:space="0" w:color="2D2E2E" w:themeColor="text1"/>
          <w:left w:val="single" w:sz="8" w:space="0" w:color="2D2E2E" w:themeColor="text1"/>
          <w:bottom w:val="single" w:sz="8" w:space="0" w:color="2D2E2E" w:themeColor="text1"/>
          <w:right w:val="single" w:sz="8" w:space="0" w:color="2D2E2E" w:themeColor="text1"/>
          <w:insideV w:val="single" w:sz="8" w:space="0" w:color="2D2E2E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1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H w:val="nil"/>
          <w:insideV w:val="single" w:sz="8" w:space="0" w:color="EF4C0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</w:tcPr>
    </w:tblStylePr>
    <w:tblStylePr w:type="band1Vert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  <w:shd w:val="clear" w:color="auto" w:fill="FDD1BF" w:themeFill="accent1" w:themeFillTint="3F"/>
      </w:tcPr>
    </w:tblStylePr>
    <w:tblStylePr w:type="band2Horz">
      <w:tblPr/>
      <w:tcPr>
        <w:tcBorders>
          <w:top w:val="single" w:sz="8" w:space="0" w:color="EF4C07" w:themeColor="accent1"/>
          <w:left w:val="single" w:sz="8" w:space="0" w:color="EF4C07" w:themeColor="accent1"/>
          <w:bottom w:val="single" w:sz="8" w:space="0" w:color="EF4C07" w:themeColor="accent1"/>
          <w:right w:val="single" w:sz="8" w:space="0" w:color="EF4C07" w:themeColor="accent1"/>
          <w:insideV w:val="single" w:sz="8" w:space="0" w:color="EF4C0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1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H w:val="nil"/>
          <w:insideV w:val="single" w:sz="8" w:space="0" w:color="714A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</w:tcPr>
    </w:tblStylePr>
    <w:tblStylePr w:type="band1Vert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  <w:shd w:val="clear" w:color="auto" w:fill="DBD0E9" w:themeFill="accent2" w:themeFillTint="3F"/>
      </w:tcPr>
    </w:tblStylePr>
    <w:tblStylePr w:type="band2Horz">
      <w:tblPr/>
      <w:tcPr>
        <w:tcBorders>
          <w:top w:val="single" w:sz="8" w:space="0" w:color="714AA0" w:themeColor="accent2"/>
          <w:left w:val="single" w:sz="8" w:space="0" w:color="714AA0" w:themeColor="accent2"/>
          <w:bottom w:val="single" w:sz="8" w:space="0" w:color="714AA0" w:themeColor="accent2"/>
          <w:right w:val="single" w:sz="8" w:space="0" w:color="714AA0" w:themeColor="accent2"/>
          <w:insideV w:val="single" w:sz="8" w:space="0" w:color="714AA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1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H w:val="nil"/>
          <w:insideV w:val="single" w:sz="8" w:space="0" w:color="64DBA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</w:tcPr>
    </w:tblStylePr>
    <w:tblStylePr w:type="band1Vert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  <w:shd w:val="clear" w:color="auto" w:fill="D8F6EA" w:themeFill="accent3" w:themeFillTint="3F"/>
      </w:tcPr>
    </w:tblStylePr>
    <w:tblStylePr w:type="band2Horz">
      <w:tblPr/>
      <w:tcPr>
        <w:tcBorders>
          <w:top w:val="single" w:sz="8" w:space="0" w:color="64DBAE" w:themeColor="accent3"/>
          <w:left w:val="single" w:sz="8" w:space="0" w:color="64DBAE" w:themeColor="accent3"/>
          <w:bottom w:val="single" w:sz="8" w:space="0" w:color="64DBAE" w:themeColor="accent3"/>
          <w:right w:val="single" w:sz="8" w:space="0" w:color="64DBAE" w:themeColor="accent3"/>
          <w:insideV w:val="single" w:sz="8" w:space="0" w:color="64DBA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1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H w:val="nil"/>
          <w:insideV w:val="single" w:sz="8" w:space="0" w:color="FF741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</w:tcPr>
    </w:tblStylePr>
    <w:tblStylePr w:type="band1Vert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  <w:shd w:val="clear" w:color="auto" w:fill="FFDCC5" w:themeFill="accent4" w:themeFillTint="3F"/>
      </w:tcPr>
    </w:tblStylePr>
    <w:tblStylePr w:type="band2Horz">
      <w:tblPr/>
      <w:tcPr>
        <w:tcBorders>
          <w:top w:val="single" w:sz="8" w:space="0" w:color="FF7415" w:themeColor="accent4"/>
          <w:left w:val="single" w:sz="8" w:space="0" w:color="FF7415" w:themeColor="accent4"/>
          <w:bottom w:val="single" w:sz="8" w:space="0" w:color="FF7415" w:themeColor="accent4"/>
          <w:right w:val="single" w:sz="8" w:space="0" w:color="FF7415" w:themeColor="accent4"/>
          <w:insideV w:val="single" w:sz="8" w:space="0" w:color="FF741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1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H w:val="nil"/>
          <w:insideV w:val="single" w:sz="8" w:space="0" w:color="C0A4E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</w:tcPr>
    </w:tblStylePr>
    <w:tblStylePr w:type="band1Vert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  <w:shd w:val="clear" w:color="auto" w:fill="EFE8F9" w:themeFill="accent5" w:themeFillTint="3F"/>
      </w:tcPr>
    </w:tblStylePr>
    <w:tblStylePr w:type="band2Horz">
      <w:tblPr/>
      <w:tcPr>
        <w:tcBorders>
          <w:top w:val="single" w:sz="8" w:space="0" w:color="C0A4E8" w:themeColor="accent5"/>
          <w:left w:val="single" w:sz="8" w:space="0" w:color="C0A4E8" w:themeColor="accent5"/>
          <w:bottom w:val="single" w:sz="8" w:space="0" w:color="C0A4E8" w:themeColor="accent5"/>
          <w:right w:val="single" w:sz="8" w:space="0" w:color="C0A4E8" w:themeColor="accent5"/>
          <w:insideV w:val="single" w:sz="8" w:space="0" w:color="C0A4E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1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H w:val="nil"/>
          <w:insideV w:val="single" w:sz="8" w:space="0" w:color="FF8F4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</w:tcPr>
    </w:tblStylePr>
    <w:tblStylePr w:type="band1Vert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  <w:shd w:val="clear" w:color="auto" w:fill="FFE3D0" w:themeFill="accent6" w:themeFillTint="3F"/>
      </w:tcPr>
    </w:tblStylePr>
    <w:tblStylePr w:type="band2Horz">
      <w:tblPr/>
      <w:tcPr>
        <w:tcBorders>
          <w:top w:val="single" w:sz="8" w:space="0" w:color="FF8F43" w:themeColor="accent6"/>
          <w:left w:val="single" w:sz="8" w:space="0" w:color="FF8F43" w:themeColor="accent6"/>
          <w:bottom w:val="single" w:sz="8" w:space="0" w:color="FF8F43" w:themeColor="accent6"/>
          <w:right w:val="single" w:sz="8" w:space="0" w:color="FF8F43" w:themeColor="accent6"/>
          <w:insideV w:val="single" w:sz="8" w:space="0" w:color="FF8F43" w:themeColor="accent6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31EB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31EB4"/>
    <w:rPr>
      <w:rFonts w:ascii="Consolas" w:hAnsi="Consolas"/>
      <w:lang w:val="sv-S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31EB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31EB4"/>
    <w:rPr>
      <w:rFonts w:asciiTheme="majorHAnsi" w:eastAsiaTheme="majorEastAsia" w:hAnsiTheme="majorHAnsi" w:cstheme="majorBidi"/>
      <w:sz w:val="24"/>
      <w:szCs w:val="24"/>
      <w:shd w:val="pct20" w:color="auto" w:fill="auto"/>
      <w:lang w:val="sv-SE"/>
    </w:rPr>
  </w:style>
  <w:style w:type="table" w:styleId="MediumList1">
    <w:name w:val="Medium Lis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bottom w:val="single" w:sz="8" w:space="0" w:color="2D2E2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D2E2E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D2E2E" w:themeColor="text1"/>
          <w:bottom w:val="single" w:sz="8" w:space="0" w:color="2D2E2E" w:themeColor="text1"/>
        </w:tcBorders>
      </w:tc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shd w:val="clear" w:color="auto" w:fill="CACBCB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bottom w:val="single" w:sz="8" w:space="0" w:color="EF4C0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4C07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4C07" w:themeColor="accent1"/>
          <w:bottom w:val="single" w:sz="8" w:space="0" w:color="EF4C07" w:themeColor="accent1"/>
        </w:tcBorders>
      </w:tc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shd w:val="clear" w:color="auto" w:fill="FDD1B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bottom w:val="single" w:sz="8" w:space="0" w:color="714A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14AA0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14AA0" w:themeColor="accent2"/>
          <w:bottom w:val="single" w:sz="8" w:space="0" w:color="714AA0" w:themeColor="accent2"/>
        </w:tcBorders>
      </w:tc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shd w:val="clear" w:color="auto" w:fill="DBD0E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bottom w:val="single" w:sz="8" w:space="0" w:color="64DBA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DBAE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DBAE" w:themeColor="accent3"/>
          <w:bottom w:val="single" w:sz="8" w:space="0" w:color="64DBAE" w:themeColor="accent3"/>
        </w:tcBorders>
      </w:tc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shd w:val="clear" w:color="auto" w:fill="D8F6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bottom w:val="single" w:sz="8" w:space="0" w:color="FF741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415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415" w:themeColor="accent4"/>
          <w:bottom w:val="single" w:sz="8" w:space="0" w:color="FF7415" w:themeColor="accent4"/>
        </w:tcBorders>
      </w:tc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shd w:val="clear" w:color="auto" w:fill="FFDC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bottom w:val="single" w:sz="8" w:space="0" w:color="C0A4E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A4E8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A4E8" w:themeColor="accent5"/>
          <w:bottom w:val="single" w:sz="8" w:space="0" w:color="C0A4E8" w:themeColor="accent5"/>
        </w:tcBorders>
      </w:tc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shd w:val="clear" w:color="auto" w:fill="EFE8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bottom w:val="single" w:sz="8" w:space="0" w:color="FF8F4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F43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F43" w:themeColor="accent6"/>
          <w:bottom w:val="single" w:sz="8" w:space="0" w:color="FF8F43" w:themeColor="accent6"/>
        </w:tcBorders>
      </w:tc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shd w:val="clear" w:color="auto" w:fill="FFE3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D2E2E" w:themeColor="tex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D2E2E" w:themeColor="tex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2D2E2E" w:themeColor="tex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CBC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CBCB" w:themeFill="tex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4C07" w:themeColor="accent1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EF4C07" w:themeColor="accen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4C07" w:themeColor="accent1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EF4C07" w:themeColor="accent1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D1B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D1BF" w:themeFill="accent1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14AA0" w:themeColor="accent2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714AA0" w:themeColor="accent2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14AA0" w:themeColor="accent2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714AA0" w:themeColor="accent2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0E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0E9" w:themeFill="accent2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DBAE" w:themeColor="accent3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64DBAE" w:themeColor="accent3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DBAE" w:themeColor="accent3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64DBAE" w:themeColor="accent3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6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6EA" w:themeFill="accent3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415" w:themeColor="accent4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7415" w:themeColor="accent4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415" w:themeColor="accent4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7415" w:themeColor="accent4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C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CC5" w:themeFill="accent4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A4E8" w:themeColor="accent5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C0A4E8" w:themeColor="accent5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A4E8" w:themeColor="accent5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C0A4E8" w:themeColor="accent5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8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8F9" w:themeFill="accent5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F43" w:themeColor="accent6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tblPr/>
      <w:tcPr>
        <w:tcBorders>
          <w:top w:val="single" w:sz="8" w:space="0" w:color="FF8F43" w:themeColor="accent6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F43" w:themeColor="accent6"/>
          <w:insideH w:val="nil"/>
          <w:insideV w:val="nil"/>
        </w:tcBorders>
        <w:shd w:val="clear" w:color="auto" w:fill="FFF4EC" w:themeFill="background1"/>
      </w:tcPr>
    </w:tblStylePr>
    <w:tblStylePr w:type="lastCol">
      <w:tblPr/>
      <w:tcPr>
        <w:tcBorders>
          <w:top w:val="nil"/>
          <w:left w:val="single" w:sz="8" w:space="0" w:color="FF8F43" w:themeColor="accent6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3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3D0" w:themeFill="accent6" w:themeFillTint="3F"/>
      </w:tcPr>
    </w:tblStylePr>
    <w:tblStylePr w:type="nwCell">
      <w:tblPr/>
      <w:tcPr>
        <w:shd w:val="clear" w:color="auto" w:fill="FFF4EC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363" w:themeColor="text1" w:themeTint="BF"/>
          <w:left w:val="single" w:sz="8" w:space="0" w:color="616363" w:themeColor="text1" w:themeTint="BF"/>
          <w:bottom w:val="single" w:sz="8" w:space="0" w:color="616363" w:themeColor="text1" w:themeTint="BF"/>
          <w:right w:val="single" w:sz="8" w:space="0" w:color="61636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BC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CBC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753E" w:themeColor="accent1" w:themeTint="BF"/>
          <w:left w:val="single" w:sz="8" w:space="0" w:color="F9753E" w:themeColor="accent1" w:themeTint="BF"/>
          <w:bottom w:val="single" w:sz="8" w:space="0" w:color="F9753E" w:themeColor="accent1" w:themeTint="BF"/>
          <w:right w:val="single" w:sz="8" w:space="0" w:color="F9753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1B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D1B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71BD" w:themeColor="accent2" w:themeTint="BF"/>
          <w:left w:val="single" w:sz="8" w:space="0" w:color="9371BD" w:themeColor="accent2" w:themeTint="BF"/>
          <w:bottom w:val="single" w:sz="8" w:space="0" w:color="9371BD" w:themeColor="accent2" w:themeTint="BF"/>
          <w:right w:val="single" w:sz="8" w:space="0" w:color="9371B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0E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0E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E4C2" w:themeColor="accent3" w:themeTint="BF"/>
          <w:left w:val="single" w:sz="8" w:space="0" w:color="8AE4C2" w:themeColor="accent3" w:themeTint="BF"/>
          <w:bottom w:val="single" w:sz="8" w:space="0" w:color="8AE4C2" w:themeColor="accent3" w:themeTint="BF"/>
          <w:right w:val="single" w:sz="8" w:space="0" w:color="8AE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6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6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64F" w:themeColor="accent4" w:themeTint="BF"/>
          <w:left w:val="single" w:sz="8" w:space="0" w:color="FF964F" w:themeColor="accent4" w:themeTint="BF"/>
          <w:bottom w:val="single" w:sz="8" w:space="0" w:color="FF964F" w:themeColor="accent4" w:themeTint="BF"/>
          <w:right w:val="single" w:sz="8" w:space="0" w:color="FF964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C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BAED" w:themeColor="accent5" w:themeTint="BF"/>
          <w:left w:val="single" w:sz="8" w:space="0" w:color="CFBAED" w:themeColor="accent5" w:themeTint="BF"/>
          <w:bottom w:val="single" w:sz="8" w:space="0" w:color="CFBAED" w:themeColor="accent5" w:themeTint="BF"/>
          <w:right w:val="single" w:sz="8" w:space="0" w:color="CFBAE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8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8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A72" w:themeColor="accent6" w:themeTint="BF"/>
          <w:left w:val="single" w:sz="8" w:space="0" w:color="FFAA72" w:themeColor="accent6" w:themeTint="BF"/>
          <w:bottom w:val="single" w:sz="8" w:space="0" w:color="FFAA72" w:themeColor="accent6" w:themeTint="BF"/>
          <w:right w:val="single" w:sz="8" w:space="0" w:color="FFAA7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3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FFF4EC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8A0" w:themeFill="background1" w:themeFillShade="D8"/>
      </w:tcPr>
    </w:tblStylePr>
    <w:tblStylePr w:type="band1Horz">
      <w:tblPr/>
      <w:tcPr>
        <w:shd w:val="clear" w:color="auto" w:fill="FFC8A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4EC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616363" w:themeColor="text1" w:themeTint="BF"/>
        <w:left w:val="single" w:sz="8" w:space="0" w:color="616363" w:themeColor="text1" w:themeTint="BF"/>
        <w:bottom w:val="single" w:sz="8" w:space="0" w:color="616363" w:themeColor="text1" w:themeTint="BF"/>
        <w:right w:val="single" w:sz="8" w:space="0" w:color="616363" w:themeColor="text1" w:themeTint="BF"/>
        <w:insideH w:val="single" w:sz="8" w:space="0" w:color="616363" w:themeColor="text1" w:themeTint="BF"/>
        <w:insideV w:val="single" w:sz="8" w:space="0" w:color="616363" w:themeColor="text1" w:themeTint="BF"/>
      </w:tblBorders>
    </w:tblPr>
    <w:tcPr>
      <w:shd w:val="clear" w:color="auto" w:fill="CACBC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636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shd w:val="clear" w:color="auto" w:fill="959797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9753E" w:themeColor="accent1" w:themeTint="BF"/>
        <w:left w:val="single" w:sz="8" w:space="0" w:color="F9753E" w:themeColor="accent1" w:themeTint="BF"/>
        <w:bottom w:val="single" w:sz="8" w:space="0" w:color="F9753E" w:themeColor="accent1" w:themeTint="BF"/>
        <w:right w:val="single" w:sz="8" w:space="0" w:color="F9753E" w:themeColor="accent1" w:themeTint="BF"/>
        <w:insideH w:val="single" w:sz="8" w:space="0" w:color="F9753E" w:themeColor="accent1" w:themeTint="BF"/>
        <w:insideV w:val="single" w:sz="8" w:space="0" w:color="F9753E" w:themeColor="accent1" w:themeTint="BF"/>
      </w:tblBorders>
    </w:tblPr>
    <w:tcPr>
      <w:shd w:val="clear" w:color="auto" w:fill="FDD1B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753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shd w:val="clear" w:color="auto" w:fill="FBA37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9371BD" w:themeColor="accent2" w:themeTint="BF"/>
        <w:left w:val="single" w:sz="8" w:space="0" w:color="9371BD" w:themeColor="accent2" w:themeTint="BF"/>
        <w:bottom w:val="single" w:sz="8" w:space="0" w:color="9371BD" w:themeColor="accent2" w:themeTint="BF"/>
        <w:right w:val="single" w:sz="8" w:space="0" w:color="9371BD" w:themeColor="accent2" w:themeTint="BF"/>
        <w:insideH w:val="single" w:sz="8" w:space="0" w:color="9371BD" w:themeColor="accent2" w:themeTint="BF"/>
        <w:insideV w:val="single" w:sz="8" w:space="0" w:color="9371BD" w:themeColor="accent2" w:themeTint="BF"/>
      </w:tblBorders>
    </w:tblPr>
    <w:tcPr>
      <w:shd w:val="clear" w:color="auto" w:fill="DBD0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71B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shd w:val="clear" w:color="auto" w:fill="B7A0D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8AE4C2" w:themeColor="accent3" w:themeTint="BF"/>
        <w:left w:val="single" w:sz="8" w:space="0" w:color="8AE4C2" w:themeColor="accent3" w:themeTint="BF"/>
        <w:bottom w:val="single" w:sz="8" w:space="0" w:color="8AE4C2" w:themeColor="accent3" w:themeTint="BF"/>
        <w:right w:val="single" w:sz="8" w:space="0" w:color="8AE4C2" w:themeColor="accent3" w:themeTint="BF"/>
        <w:insideH w:val="single" w:sz="8" w:space="0" w:color="8AE4C2" w:themeColor="accent3" w:themeTint="BF"/>
        <w:insideV w:val="single" w:sz="8" w:space="0" w:color="8AE4C2" w:themeColor="accent3" w:themeTint="BF"/>
      </w:tblBorders>
    </w:tblPr>
    <w:tcPr>
      <w:shd w:val="clear" w:color="auto" w:fill="D8F6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E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shd w:val="clear" w:color="auto" w:fill="B1ED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964F" w:themeColor="accent4" w:themeTint="BF"/>
        <w:left w:val="single" w:sz="8" w:space="0" w:color="FF964F" w:themeColor="accent4" w:themeTint="BF"/>
        <w:bottom w:val="single" w:sz="8" w:space="0" w:color="FF964F" w:themeColor="accent4" w:themeTint="BF"/>
        <w:right w:val="single" w:sz="8" w:space="0" w:color="FF964F" w:themeColor="accent4" w:themeTint="BF"/>
        <w:insideH w:val="single" w:sz="8" w:space="0" w:color="FF964F" w:themeColor="accent4" w:themeTint="BF"/>
        <w:insideV w:val="single" w:sz="8" w:space="0" w:color="FF964F" w:themeColor="accent4" w:themeTint="BF"/>
      </w:tblBorders>
    </w:tblPr>
    <w:tcPr>
      <w:shd w:val="clear" w:color="auto" w:fill="FFDC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64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shd w:val="clear" w:color="auto" w:fill="FFB9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CFBAED" w:themeColor="accent5" w:themeTint="BF"/>
        <w:left w:val="single" w:sz="8" w:space="0" w:color="CFBAED" w:themeColor="accent5" w:themeTint="BF"/>
        <w:bottom w:val="single" w:sz="8" w:space="0" w:color="CFBAED" w:themeColor="accent5" w:themeTint="BF"/>
        <w:right w:val="single" w:sz="8" w:space="0" w:color="CFBAED" w:themeColor="accent5" w:themeTint="BF"/>
        <w:insideH w:val="single" w:sz="8" w:space="0" w:color="CFBAED" w:themeColor="accent5" w:themeTint="BF"/>
        <w:insideV w:val="single" w:sz="8" w:space="0" w:color="CFBAED" w:themeColor="accent5" w:themeTint="BF"/>
      </w:tblBorders>
    </w:tblPr>
    <w:tcPr>
      <w:shd w:val="clear" w:color="auto" w:fill="EFE8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BAE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shd w:val="clear" w:color="auto" w:fill="DFD1F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AA72" w:themeColor="accent6" w:themeTint="BF"/>
        <w:left w:val="single" w:sz="8" w:space="0" w:color="FFAA72" w:themeColor="accent6" w:themeTint="BF"/>
        <w:bottom w:val="single" w:sz="8" w:space="0" w:color="FFAA72" w:themeColor="accent6" w:themeTint="BF"/>
        <w:right w:val="single" w:sz="8" w:space="0" w:color="FFAA72" w:themeColor="accent6" w:themeTint="BF"/>
        <w:insideH w:val="single" w:sz="8" w:space="0" w:color="FFAA72" w:themeColor="accent6" w:themeTint="BF"/>
        <w:insideV w:val="single" w:sz="8" w:space="0" w:color="FFAA72" w:themeColor="accent6" w:themeTint="BF"/>
      </w:tblBorders>
    </w:tblPr>
    <w:tcPr>
      <w:shd w:val="clear" w:color="auto" w:fill="FFE3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A7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shd w:val="clear" w:color="auto" w:fill="FFC7A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2D2E2E" w:themeColor="text1"/>
        <w:left w:val="single" w:sz="8" w:space="0" w:color="2D2E2E" w:themeColor="text1"/>
        <w:bottom w:val="single" w:sz="8" w:space="0" w:color="2D2E2E" w:themeColor="text1"/>
        <w:right w:val="single" w:sz="8" w:space="0" w:color="2D2E2E" w:themeColor="text1"/>
        <w:insideH w:val="single" w:sz="8" w:space="0" w:color="2D2E2E" w:themeColor="text1"/>
        <w:insideV w:val="single" w:sz="8" w:space="0" w:color="2D2E2E" w:themeColor="text1"/>
      </w:tblBorders>
    </w:tblPr>
    <w:tcPr>
      <w:shd w:val="clear" w:color="auto" w:fill="CACBCB" w:themeFill="text1" w:themeFillTint="3F"/>
    </w:tcPr>
    <w:tblStylePr w:type="firstRow">
      <w:rPr>
        <w:b/>
        <w:bCs/>
        <w:color w:val="2D2E2E" w:themeColor="text1"/>
      </w:rPr>
      <w:tblPr/>
      <w:tcPr>
        <w:shd w:val="clear" w:color="auto" w:fill="EAEAEA" w:themeFill="tex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5D5" w:themeFill="text1" w:themeFillTint="33"/>
      </w:tcPr>
    </w:tblStylePr>
    <w:tblStylePr w:type="band1Vert">
      <w:tblPr/>
      <w:tcPr>
        <w:shd w:val="clear" w:color="auto" w:fill="959797" w:themeFill="text1" w:themeFillTint="7F"/>
      </w:tcPr>
    </w:tblStylePr>
    <w:tblStylePr w:type="band1Horz">
      <w:tblPr/>
      <w:tcPr>
        <w:tcBorders>
          <w:insideH w:val="single" w:sz="6" w:space="0" w:color="2D2E2E" w:themeColor="text1"/>
          <w:insideV w:val="single" w:sz="6" w:space="0" w:color="2D2E2E" w:themeColor="text1"/>
        </w:tcBorders>
        <w:shd w:val="clear" w:color="auto" w:fill="959797" w:themeFill="tex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EF4C07" w:themeColor="accent1"/>
        <w:left w:val="single" w:sz="8" w:space="0" w:color="EF4C07" w:themeColor="accent1"/>
        <w:bottom w:val="single" w:sz="8" w:space="0" w:color="EF4C07" w:themeColor="accent1"/>
        <w:right w:val="single" w:sz="8" w:space="0" w:color="EF4C07" w:themeColor="accent1"/>
        <w:insideH w:val="single" w:sz="8" w:space="0" w:color="EF4C07" w:themeColor="accent1"/>
        <w:insideV w:val="single" w:sz="8" w:space="0" w:color="EF4C07" w:themeColor="accent1"/>
      </w:tblBorders>
    </w:tblPr>
    <w:tcPr>
      <w:shd w:val="clear" w:color="auto" w:fill="FDD1BF" w:themeFill="accent1" w:themeFillTint="3F"/>
    </w:tcPr>
    <w:tblStylePr w:type="firstRow">
      <w:rPr>
        <w:b/>
        <w:bCs/>
        <w:color w:val="2D2E2E" w:themeColor="text1"/>
      </w:rPr>
      <w:tblPr/>
      <w:tcPr>
        <w:shd w:val="clear" w:color="auto" w:fill="FEECE5" w:themeFill="accent1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ACB" w:themeFill="accent1" w:themeFillTint="33"/>
      </w:tcPr>
    </w:tblStylePr>
    <w:tblStylePr w:type="band1Vert">
      <w:tblPr/>
      <w:tcPr>
        <w:shd w:val="clear" w:color="auto" w:fill="FBA37F" w:themeFill="accent1" w:themeFillTint="7F"/>
      </w:tcPr>
    </w:tblStylePr>
    <w:tblStylePr w:type="band1Horz">
      <w:tblPr/>
      <w:tcPr>
        <w:tcBorders>
          <w:insideH w:val="single" w:sz="6" w:space="0" w:color="EF4C07" w:themeColor="accent1"/>
          <w:insideV w:val="single" w:sz="6" w:space="0" w:color="EF4C07" w:themeColor="accent1"/>
        </w:tcBorders>
        <w:shd w:val="clear" w:color="auto" w:fill="FBA37F" w:themeFill="accent1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714AA0" w:themeColor="accent2"/>
        <w:left w:val="single" w:sz="8" w:space="0" w:color="714AA0" w:themeColor="accent2"/>
        <w:bottom w:val="single" w:sz="8" w:space="0" w:color="714AA0" w:themeColor="accent2"/>
        <w:right w:val="single" w:sz="8" w:space="0" w:color="714AA0" w:themeColor="accent2"/>
        <w:insideH w:val="single" w:sz="8" w:space="0" w:color="714AA0" w:themeColor="accent2"/>
        <w:insideV w:val="single" w:sz="8" w:space="0" w:color="714AA0" w:themeColor="accent2"/>
      </w:tblBorders>
    </w:tblPr>
    <w:tcPr>
      <w:shd w:val="clear" w:color="auto" w:fill="DBD0E9" w:themeFill="accent2" w:themeFillTint="3F"/>
    </w:tcPr>
    <w:tblStylePr w:type="firstRow">
      <w:rPr>
        <w:b/>
        <w:bCs/>
        <w:color w:val="2D2E2E" w:themeColor="text1"/>
      </w:rPr>
      <w:tblPr/>
      <w:tcPr>
        <w:shd w:val="clear" w:color="auto" w:fill="F0ECF6" w:themeFill="accent2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9ED" w:themeFill="accent2" w:themeFillTint="33"/>
      </w:tcPr>
    </w:tblStylePr>
    <w:tblStylePr w:type="band1Vert">
      <w:tblPr/>
      <w:tcPr>
        <w:shd w:val="clear" w:color="auto" w:fill="B7A0D3" w:themeFill="accent2" w:themeFillTint="7F"/>
      </w:tcPr>
    </w:tblStylePr>
    <w:tblStylePr w:type="band1Horz">
      <w:tblPr/>
      <w:tcPr>
        <w:tcBorders>
          <w:insideH w:val="single" w:sz="6" w:space="0" w:color="714AA0" w:themeColor="accent2"/>
          <w:insideV w:val="single" w:sz="6" w:space="0" w:color="714AA0" w:themeColor="accent2"/>
        </w:tcBorders>
        <w:shd w:val="clear" w:color="auto" w:fill="B7A0D3" w:themeFill="accent2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64DBAE" w:themeColor="accent3"/>
        <w:left w:val="single" w:sz="8" w:space="0" w:color="64DBAE" w:themeColor="accent3"/>
        <w:bottom w:val="single" w:sz="8" w:space="0" w:color="64DBAE" w:themeColor="accent3"/>
        <w:right w:val="single" w:sz="8" w:space="0" w:color="64DBAE" w:themeColor="accent3"/>
        <w:insideH w:val="single" w:sz="8" w:space="0" w:color="64DBAE" w:themeColor="accent3"/>
        <w:insideV w:val="single" w:sz="8" w:space="0" w:color="64DBAE" w:themeColor="accent3"/>
      </w:tblBorders>
    </w:tblPr>
    <w:tcPr>
      <w:shd w:val="clear" w:color="auto" w:fill="D8F6EA" w:themeFill="accent3" w:themeFillTint="3F"/>
    </w:tcPr>
    <w:tblStylePr w:type="firstRow">
      <w:rPr>
        <w:b/>
        <w:bCs/>
        <w:color w:val="2D2E2E" w:themeColor="text1"/>
      </w:rPr>
      <w:tblPr/>
      <w:tcPr>
        <w:shd w:val="clear" w:color="auto" w:fill="EFFBF6" w:themeFill="accent3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7EE" w:themeFill="accent3" w:themeFillTint="33"/>
      </w:tcPr>
    </w:tblStylePr>
    <w:tblStylePr w:type="band1Vert">
      <w:tblPr/>
      <w:tcPr>
        <w:shd w:val="clear" w:color="auto" w:fill="B1EDD6" w:themeFill="accent3" w:themeFillTint="7F"/>
      </w:tcPr>
    </w:tblStylePr>
    <w:tblStylePr w:type="band1Horz">
      <w:tblPr/>
      <w:tcPr>
        <w:tcBorders>
          <w:insideH w:val="single" w:sz="6" w:space="0" w:color="64DBAE" w:themeColor="accent3"/>
          <w:insideV w:val="single" w:sz="6" w:space="0" w:color="64DBAE" w:themeColor="accent3"/>
        </w:tcBorders>
        <w:shd w:val="clear" w:color="auto" w:fill="B1EDD6" w:themeFill="accent3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7415" w:themeColor="accent4"/>
        <w:left w:val="single" w:sz="8" w:space="0" w:color="FF7415" w:themeColor="accent4"/>
        <w:bottom w:val="single" w:sz="8" w:space="0" w:color="FF7415" w:themeColor="accent4"/>
        <w:right w:val="single" w:sz="8" w:space="0" w:color="FF7415" w:themeColor="accent4"/>
        <w:insideH w:val="single" w:sz="8" w:space="0" w:color="FF7415" w:themeColor="accent4"/>
        <w:insideV w:val="single" w:sz="8" w:space="0" w:color="FF7415" w:themeColor="accent4"/>
      </w:tblBorders>
    </w:tblPr>
    <w:tcPr>
      <w:shd w:val="clear" w:color="auto" w:fill="FFDCC5" w:themeFill="accent4" w:themeFillTint="3F"/>
    </w:tcPr>
    <w:tblStylePr w:type="firstRow">
      <w:rPr>
        <w:b/>
        <w:bCs/>
        <w:color w:val="2D2E2E" w:themeColor="text1"/>
      </w:rPr>
      <w:tblPr/>
      <w:tcPr>
        <w:shd w:val="clear" w:color="auto" w:fill="FFF1E8" w:themeFill="accent4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D0" w:themeFill="accent4" w:themeFillTint="33"/>
      </w:tcPr>
    </w:tblStylePr>
    <w:tblStylePr w:type="band1Vert">
      <w:tblPr/>
      <w:tcPr>
        <w:shd w:val="clear" w:color="auto" w:fill="FFB98A" w:themeFill="accent4" w:themeFillTint="7F"/>
      </w:tcPr>
    </w:tblStylePr>
    <w:tblStylePr w:type="band1Horz">
      <w:tblPr/>
      <w:tcPr>
        <w:tcBorders>
          <w:insideH w:val="single" w:sz="6" w:space="0" w:color="FF7415" w:themeColor="accent4"/>
          <w:insideV w:val="single" w:sz="6" w:space="0" w:color="FF7415" w:themeColor="accent4"/>
        </w:tcBorders>
        <w:shd w:val="clear" w:color="auto" w:fill="FFB98A" w:themeFill="accent4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C0A4E8" w:themeColor="accent5"/>
        <w:left w:val="single" w:sz="8" w:space="0" w:color="C0A4E8" w:themeColor="accent5"/>
        <w:bottom w:val="single" w:sz="8" w:space="0" w:color="C0A4E8" w:themeColor="accent5"/>
        <w:right w:val="single" w:sz="8" w:space="0" w:color="C0A4E8" w:themeColor="accent5"/>
        <w:insideH w:val="single" w:sz="8" w:space="0" w:color="C0A4E8" w:themeColor="accent5"/>
        <w:insideV w:val="single" w:sz="8" w:space="0" w:color="C0A4E8" w:themeColor="accent5"/>
      </w:tblBorders>
    </w:tblPr>
    <w:tcPr>
      <w:shd w:val="clear" w:color="auto" w:fill="EFE8F9" w:themeFill="accent5" w:themeFillTint="3F"/>
    </w:tcPr>
    <w:tblStylePr w:type="firstRow">
      <w:rPr>
        <w:b/>
        <w:bCs/>
        <w:color w:val="2D2E2E" w:themeColor="text1"/>
      </w:rPr>
      <w:tblPr/>
      <w:tcPr>
        <w:shd w:val="clear" w:color="auto" w:fill="F8F5FC" w:themeFill="accent5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CFA" w:themeFill="accent5" w:themeFillTint="33"/>
      </w:tcPr>
    </w:tblStylePr>
    <w:tblStylePr w:type="band1Vert">
      <w:tblPr/>
      <w:tcPr>
        <w:shd w:val="clear" w:color="auto" w:fill="DFD1F3" w:themeFill="accent5" w:themeFillTint="7F"/>
      </w:tcPr>
    </w:tblStylePr>
    <w:tblStylePr w:type="band1Horz">
      <w:tblPr/>
      <w:tcPr>
        <w:tcBorders>
          <w:insideH w:val="single" w:sz="6" w:space="0" w:color="C0A4E8" w:themeColor="accent5"/>
          <w:insideV w:val="single" w:sz="6" w:space="0" w:color="C0A4E8" w:themeColor="accent5"/>
        </w:tcBorders>
        <w:shd w:val="clear" w:color="auto" w:fill="DFD1F3" w:themeFill="accent5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31EB4"/>
    <w:pPr>
      <w:spacing w:after="0" w:line="240" w:lineRule="auto"/>
    </w:pPr>
    <w:rPr>
      <w:rFonts w:asciiTheme="majorHAnsi" w:eastAsiaTheme="majorEastAsia" w:hAnsiTheme="majorHAnsi" w:cstheme="majorBidi"/>
      <w:color w:val="2D2E2E" w:themeColor="text1"/>
    </w:rPr>
    <w:tblPr>
      <w:tblStyleRowBandSize w:val="1"/>
      <w:tblStyleColBandSize w:val="1"/>
      <w:tblBorders>
        <w:top w:val="single" w:sz="8" w:space="0" w:color="FF8F43" w:themeColor="accent6"/>
        <w:left w:val="single" w:sz="8" w:space="0" w:color="FF8F43" w:themeColor="accent6"/>
        <w:bottom w:val="single" w:sz="8" w:space="0" w:color="FF8F43" w:themeColor="accent6"/>
        <w:right w:val="single" w:sz="8" w:space="0" w:color="FF8F43" w:themeColor="accent6"/>
        <w:insideH w:val="single" w:sz="8" w:space="0" w:color="FF8F43" w:themeColor="accent6"/>
        <w:insideV w:val="single" w:sz="8" w:space="0" w:color="FF8F43" w:themeColor="accent6"/>
      </w:tblBorders>
    </w:tblPr>
    <w:tcPr>
      <w:shd w:val="clear" w:color="auto" w:fill="FFE3D0" w:themeFill="accent6" w:themeFillTint="3F"/>
    </w:tcPr>
    <w:tblStylePr w:type="firstRow">
      <w:rPr>
        <w:b/>
        <w:bCs/>
        <w:color w:val="2D2E2E" w:themeColor="text1"/>
      </w:rPr>
      <w:tblPr/>
      <w:tcPr>
        <w:shd w:val="clear" w:color="auto" w:fill="FFF3EC" w:themeFill="accent6" w:themeFillTint="19"/>
      </w:tcPr>
    </w:tblStylePr>
    <w:tblStylePr w:type="lastRow">
      <w:rPr>
        <w:b/>
        <w:bCs/>
        <w:color w:val="2D2E2E" w:themeColor="text1"/>
      </w:rPr>
      <w:tblPr/>
      <w:tcPr>
        <w:tcBorders>
          <w:top w:val="single" w:sz="12" w:space="0" w:color="2D2E2E" w:themeColor="text1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b w:val="0"/>
        <w:bCs w:val="0"/>
        <w:color w:val="2D2E2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8D9" w:themeFill="accent6" w:themeFillTint="33"/>
      </w:tcPr>
    </w:tblStylePr>
    <w:tblStylePr w:type="band1Vert">
      <w:tblPr/>
      <w:tcPr>
        <w:shd w:val="clear" w:color="auto" w:fill="FFC7A1" w:themeFill="accent6" w:themeFillTint="7F"/>
      </w:tcPr>
    </w:tblStylePr>
    <w:tblStylePr w:type="band1Horz">
      <w:tblPr/>
      <w:tcPr>
        <w:tcBorders>
          <w:insideH w:val="single" w:sz="6" w:space="0" w:color="FF8F43" w:themeColor="accent6"/>
          <w:insideV w:val="single" w:sz="6" w:space="0" w:color="FF8F43" w:themeColor="accent6"/>
        </w:tcBorders>
        <w:shd w:val="clear" w:color="auto" w:fill="FFC7A1" w:themeFill="accent6" w:themeFillTint="7F"/>
      </w:tcPr>
    </w:tblStylePr>
    <w:tblStylePr w:type="nwCell">
      <w:tblPr/>
      <w:tcPr>
        <w:shd w:val="clear" w:color="auto" w:fill="FFF4EC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CACBCB" w:themeFill="tex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2D2E2E" w:themeFill="tex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2D2E2E" w:themeFill="tex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959797" w:themeFill="tex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959797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DD1BF" w:themeFill="accent1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EF4C07" w:themeFill="accent1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EF4C07" w:themeFill="accent1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BA37F" w:themeFill="accent1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BA37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BD0E9" w:themeFill="accent2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714AA0" w:themeFill="accent2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714AA0" w:themeFill="accent2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7A0D3" w:themeFill="accent2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7A0D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D8F6EA" w:themeFill="accent3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64DBAE" w:themeFill="accent3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64DBAE" w:themeFill="accent3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B1EDD6" w:themeFill="accent3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B1ED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DCC5" w:themeFill="accent4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7415" w:themeFill="accent4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7415" w:themeFill="accent4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B98A" w:themeFill="accent4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B9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EFE8F9" w:themeFill="accent5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C0A4E8" w:themeFill="accent5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C0A4E8" w:themeFill="accent5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DFD1F3" w:themeFill="accent5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DFD1F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31EB4"/>
    <w:pPr>
      <w:spacing w:after="0" w:line="240" w:lineRule="auto"/>
    </w:pPr>
    <w:tblPr>
      <w:tblStyleRowBandSize w:val="1"/>
      <w:tblStyleColBandSize w:val="1"/>
      <w:tblBorders>
        <w:top w:val="single" w:sz="8" w:space="0" w:color="FFF4EC" w:themeColor="background1"/>
        <w:left w:val="single" w:sz="8" w:space="0" w:color="FFF4EC" w:themeColor="background1"/>
        <w:bottom w:val="single" w:sz="8" w:space="0" w:color="FFF4EC" w:themeColor="background1"/>
        <w:right w:val="single" w:sz="8" w:space="0" w:color="FFF4EC" w:themeColor="background1"/>
        <w:insideH w:val="single" w:sz="6" w:space="0" w:color="FFF4EC" w:themeColor="background1"/>
        <w:insideV w:val="single" w:sz="6" w:space="0" w:color="FFF4EC" w:themeColor="background1"/>
      </w:tblBorders>
    </w:tblPr>
    <w:tcPr>
      <w:shd w:val="clear" w:color="auto" w:fill="FFE3D0" w:themeFill="accent6" w:themeFillTint="3F"/>
    </w:tcPr>
    <w:tblStylePr w:type="firstRow">
      <w:rPr>
        <w:b/>
        <w:bCs/>
        <w:i w:val="0"/>
        <w:iCs w:val="0"/>
        <w:color w:val="FFF4EC" w:themeColor="background1"/>
      </w:rPr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24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lastRow">
      <w:rPr>
        <w:b/>
        <w:bCs/>
        <w:i w:val="0"/>
        <w:iCs w:val="0"/>
        <w:color w:val="FFF4EC" w:themeColor="background1"/>
      </w:rPr>
      <w:tblPr/>
      <w:tcPr>
        <w:tcBorders>
          <w:top w:val="single" w:sz="24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single" w:sz="8" w:space="0" w:color="FFF4EC" w:themeColor="background1"/>
        </w:tcBorders>
        <w:shd w:val="clear" w:color="auto" w:fill="FF8F43" w:themeFill="accent6"/>
      </w:tcPr>
    </w:tblStylePr>
    <w:tblStylePr w:type="firstCol">
      <w:rPr>
        <w:b/>
        <w:bCs/>
        <w:i w:val="0"/>
        <w:iCs w:val="0"/>
        <w:color w:val="FFF4EC" w:themeColor="background1"/>
      </w:rPr>
      <w:tblPr/>
      <w:tcPr>
        <w:tcBorders>
          <w:left w:val="single" w:sz="8" w:space="0" w:color="FFF4EC" w:themeColor="background1"/>
          <w:right w:val="single" w:sz="2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Col">
      <w:rPr>
        <w:b/>
        <w:bCs/>
        <w:i w:val="0"/>
        <w:iCs w:val="0"/>
        <w:color w:val="FFF4EC" w:themeColor="background1"/>
      </w:rPr>
      <w:tblPr/>
      <w:tcPr>
        <w:tcBorders>
          <w:top w:val="nil"/>
          <w:left w:val="single" w:sz="24" w:space="0" w:color="FFF4EC" w:themeColor="background1"/>
          <w:bottom w:val="nil"/>
          <w:right w:val="nil"/>
          <w:insideH w:val="nil"/>
          <w:insideV w:val="nil"/>
        </w:tcBorders>
        <w:shd w:val="clear" w:color="auto" w:fill="FF8F43" w:themeFill="accent6"/>
      </w:tcPr>
    </w:tblStylePr>
    <w:tblStylePr w:type="band1Vert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nil"/>
          <w:insideV w:val="nil"/>
        </w:tcBorders>
        <w:shd w:val="clear" w:color="auto" w:fill="FFC7A1" w:themeFill="accent6" w:themeFillTint="7F"/>
      </w:tcPr>
    </w:tblStylePr>
    <w:tblStylePr w:type="band1Horz">
      <w:tblPr/>
      <w:tcPr>
        <w:tcBorders>
          <w:top w:val="single" w:sz="8" w:space="0" w:color="FFF4EC" w:themeColor="background1"/>
          <w:left w:val="single" w:sz="8" w:space="0" w:color="FFF4EC" w:themeColor="background1"/>
          <w:bottom w:val="single" w:sz="8" w:space="0" w:color="FFF4EC" w:themeColor="background1"/>
          <w:right w:val="single" w:sz="8" w:space="0" w:color="FFF4EC" w:themeColor="background1"/>
          <w:insideH w:val="single" w:sz="8" w:space="0" w:color="FFF4EC" w:themeColor="background1"/>
          <w:insideV w:val="single" w:sz="8" w:space="0" w:color="FFF4EC" w:themeColor="background1"/>
        </w:tcBorders>
        <w:shd w:val="clear" w:color="auto" w:fill="FFC7A1" w:themeFill="accent6" w:themeFillTint="7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631EB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DarkList">
    <w:name w:val="Dark List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2D2E2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61616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12222" w:themeFill="tex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2222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EF4C0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7625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B23805" w:themeFill="accent1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80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714A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3824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543777" w:themeFill="accent2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37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64DBA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1E805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2DC189" w:themeFill="accent3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C18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741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893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CE5300" w:themeFill="accent4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3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C0A4E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58279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8854D4" w:themeFill="accent5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4D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31EB4"/>
    <w:pPr>
      <w:spacing w:after="0" w:line="240" w:lineRule="auto"/>
    </w:pPr>
    <w:rPr>
      <w:color w:val="FFF4EC" w:themeColor="background1"/>
    </w:rPr>
    <w:tblPr>
      <w:tblStyleRowBandSize w:val="1"/>
      <w:tblStyleColBandSize w:val="1"/>
    </w:tblPr>
    <w:tcPr>
      <w:shd w:val="clear" w:color="auto" w:fill="FF8F4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4EC" w:themeColor="background1"/>
          <w:right w:val="nil"/>
          <w:insideH w:val="nil"/>
          <w:insideV w:val="nil"/>
        </w:tcBorders>
        <w:shd w:val="clear" w:color="auto" w:fill="2D2E2E" w:themeFill="text1"/>
      </w:tcPr>
    </w:tblStylePr>
    <w:tblStylePr w:type="lastRow">
      <w:tblPr/>
      <w:tcPr>
        <w:tcBorders>
          <w:top w:val="single" w:sz="18" w:space="0" w:color="FFF4EC" w:themeColor="background1"/>
          <w:left w:val="nil"/>
          <w:bottom w:val="nil"/>
          <w:right w:val="nil"/>
          <w:insideH w:val="nil"/>
          <w:insideV w:val="nil"/>
        </w:tcBorders>
        <w:shd w:val="clear" w:color="auto" w:fill="A04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4EC" w:themeColor="background1"/>
          <w:insideH w:val="nil"/>
          <w:insideV w:val="nil"/>
        </w:tcBorders>
        <w:shd w:val="clear" w:color="auto" w:fill="F16100" w:themeFill="accent6" w:themeFillShade="BF"/>
      </w:tcPr>
    </w:tblStylePr>
    <w:tblStylePr w:type="lastCol">
      <w:tblPr/>
      <w:tcPr>
        <w:tcBorders>
          <w:top w:val="nil"/>
          <w:left w:val="single" w:sz="18" w:space="0" w:color="FFF4EC" w:themeColor="background1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100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31EB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31EB4"/>
    <w:pPr>
      <w:ind w:left="1304"/>
    </w:pPr>
  </w:style>
  <w:style w:type="paragraph" w:styleId="ListNumber2">
    <w:name w:val="List Number 2"/>
    <w:basedOn w:val="Normal"/>
    <w:uiPriority w:val="99"/>
    <w:semiHidden/>
    <w:unhideWhenUsed/>
    <w:rsid w:val="00631EB4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31EB4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31EB4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31EB4"/>
    <w:pPr>
      <w:numPr>
        <w:numId w:val="14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631EB4"/>
    <w:rPr>
      <w:color w:val="2B579A"/>
      <w:shd w:val="clear" w:color="auto" w:fill="E1DFDD"/>
      <w:lang w:val="sv-SE"/>
    </w:rPr>
  </w:style>
  <w:style w:type="table" w:styleId="PlainTable1">
    <w:name w:val="Plain Table 1"/>
    <w:basedOn w:val="TableNormal"/>
    <w:uiPriority w:val="41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AC7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949797" w:themeColor="text1" w:themeTint="80"/>
        <w:bottom w:val="single" w:sz="4" w:space="0" w:color="949797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49797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2Vert">
      <w:tblPr/>
      <w:tcPr>
        <w:tcBorders>
          <w:left w:val="single" w:sz="4" w:space="0" w:color="949797" w:themeColor="text1" w:themeTint="80"/>
          <w:right w:val="single" w:sz="4" w:space="0" w:color="949797" w:themeColor="text1" w:themeTint="80"/>
        </w:tcBorders>
      </w:tcPr>
    </w:tblStylePr>
    <w:tblStylePr w:type="band1Horz">
      <w:tblPr/>
      <w:tcPr>
        <w:tcBorders>
          <w:top w:val="single" w:sz="4" w:space="0" w:color="949797" w:themeColor="text1" w:themeTint="80"/>
          <w:bottom w:val="single" w:sz="4" w:space="0" w:color="949797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49797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49797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</w:style>
  <w:style w:type="table" w:styleId="PlainTable5">
    <w:name w:val="Plain Table 5"/>
    <w:basedOn w:val="TableNormal"/>
    <w:uiPriority w:val="45"/>
    <w:rsid w:val="00631E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9797" w:themeColor="text1" w:themeTint="80"/>
        </w:tcBorders>
        <w:shd w:val="clear" w:color="auto" w:fill="FFF4EC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9797" w:themeColor="text1" w:themeTint="80"/>
        </w:tcBorders>
        <w:shd w:val="clear" w:color="auto" w:fill="FFF4EC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9797" w:themeColor="text1" w:themeTint="80"/>
        </w:tcBorders>
        <w:shd w:val="clear" w:color="auto" w:fill="FFF4EC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9797" w:themeColor="text1" w:themeTint="80"/>
        </w:tcBorders>
        <w:shd w:val="clear" w:color="auto" w:fill="FFF4EC" w:themeFill="background1"/>
      </w:tcPr>
    </w:tblStylePr>
    <w:tblStylePr w:type="band1Vert">
      <w:tblPr/>
      <w:tcPr>
        <w:shd w:val="clear" w:color="auto" w:fill="FFE5D2" w:themeFill="background1" w:themeFillShade="F2"/>
      </w:tcPr>
    </w:tblStylePr>
    <w:tblStylePr w:type="band1Horz">
      <w:tblPr/>
      <w:tcPr>
        <w:shd w:val="clear" w:color="auto" w:fill="FFE5D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31E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31EB4"/>
    <w:rPr>
      <w:rFonts w:ascii="Consolas" w:hAnsi="Consolas"/>
      <w:sz w:val="21"/>
      <w:szCs w:val="21"/>
      <w:lang w:val="sv-SE"/>
    </w:rPr>
  </w:style>
  <w:style w:type="character" w:styleId="UnresolvedMention">
    <w:name w:val="Unresolved Mention"/>
    <w:basedOn w:val="DefaultParagraphFont"/>
    <w:uiPriority w:val="99"/>
    <w:semiHidden/>
    <w:unhideWhenUsed/>
    <w:rsid w:val="00631EB4"/>
    <w:rPr>
      <w:color w:val="605E5C"/>
      <w:shd w:val="clear" w:color="auto" w:fill="E1DFDD"/>
      <w:lang w:val="sv-SE"/>
    </w:rPr>
  </w:style>
  <w:style w:type="table" w:styleId="TableProfessional">
    <w:name w:val="Table Professional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2">
    <w:name w:val="List Bullet 2"/>
    <w:basedOn w:val="Normal"/>
    <w:uiPriority w:val="99"/>
    <w:semiHidden/>
    <w:unhideWhenUsed/>
    <w:rsid w:val="00631EB4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31EB4"/>
    <w:pPr>
      <w:numPr>
        <w:numId w:val="1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31EB4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31EB4"/>
    <w:pPr>
      <w:numPr>
        <w:numId w:val="18"/>
      </w:numPr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631EB4"/>
    <w:rPr>
      <w:lang w:val="sv-SE"/>
    </w:rPr>
  </w:style>
  <w:style w:type="table" w:styleId="GridTable1Light">
    <w:name w:val="Grid Table 1 Light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AACAC" w:themeColor="text1" w:themeTint="66"/>
        <w:left w:val="single" w:sz="4" w:space="0" w:color="AAACAC" w:themeColor="text1" w:themeTint="66"/>
        <w:bottom w:val="single" w:sz="4" w:space="0" w:color="AAACAC" w:themeColor="text1" w:themeTint="66"/>
        <w:right w:val="single" w:sz="4" w:space="0" w:color="AAACAC" w:themeColor="text1" w:themeTint="66"/>
        <w:insideH w:val="single" w:sz="4" w:space="0" w:color="AAACAC" w:themeColor="text1" w:themeTint="66"/>
        <w:insideV w:val="single" w:sz="4" w:space="0" w:color="AAACAC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CB598" w:themeColor="accent1" w:themeTint="66"/>
        <w:left w:val="single" w:sz="4" w:space="0" w:color="FCB598" w:themeColor="accent1" w:themeTint="66"/>
        <w:bottom w:val="single" w:sz="4" w:space="0" w:color="FCB598" w:themeColor="accent1" w:themeTint="66"/>
        <w:right w:val="single" w:sz="4" w:space="0" w:color="FCB598" w:themeColor="accent1" w:themeTint="66"/>
        <w:insideH w:val="single" w:sz="4" w:space="0" w:color="FCB598" w:themeColor="accent1" w:themeTint="66"/>
        <w:insideV w:val="single" w:sz="4" w:space="0" w:color="FCB59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5B3DC" w:themeColor="accent2" w:themeTint="66"/>
        <w:left w:val="single" w:sz="4" w:space="0" w:color="C5B3DC" w:themeColor="accent2" w:themeTint="66"/>
        <w:bottom w:val="single" w:sz="4" w:space="0" w:color="C5B3DC" w:themeColor="accent2" w:themeTint="66"/>
        <w:right w:val="single" w:sz="4" w:space="0" w:color="C5B3DC" w:themeColor="accent2" w:themeTint="66"/>
        <w:insideH w:val="single" w:sz="4" w:space="0" w:color="C5B3DC" w:themeColor="accent2" w:themeTint="66"/>
        <w:insideV w:val="single" w:sz="4" w:space="0" w:color="C5B3D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C0F0DE" w:themeColor="accent3" w:themeTint="66"/>
        <w:left w:val="single" w:sz="4" w:space="0" w:color="C0F0DE" w:themeColor="accent3" w:themeTint="66"/>
        <w:bottom w:val="single" w:sz="4" w:space="0" w:color="C0F0DE" w:themeColor="accent3" w:themeTint="66"/>
        <w:right w:val="single" w:sz="4" w:space="0" w:color="C0F0DE" w:themeColor="accent3" w:themeTint="66"/>
        <w:insideH w:val="single" w:sz="4" w:space="0" w:color="C0F0DE" w:themeColor="accent3" w:themeTint="66"/>
        <w:insideV w:val="single" w:sz="4" w:space="0" w:color="C0F0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C7A1" w:themeColor="accent4" w:themeTint="66"/>
        <w:left w:val="single" w:sz="4" w:space="0" w:color="FFC7A1" w:themeColor="accent4" w:themeTint="66"/>
        <w:bottom w:val="single" w:sz="4" w:space="0" w:color="FFC7A1" w:themeColor="accent4" w:themeTint="66"/>
        <w:right w:val="single" w:sz="4" w:space="0" w:color="FFC7A1" w:themeColor="accent4" w:themeTint="66"/>
        <w:insideH w:val="single" w:sz="4" w:space="0" w:color="FFC7A1" w:themeColor="accent4" w:themeTint="66"/>
        <w:insideV w:val="single" w:sz="4" w:space="0" w:color="FFC7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E5DAF5" w:themeColor="accent5" w:themeTint="66"/>
        <w:left w:val="single" w:sz="4" w:space="0" w:color="E5DAF5" w:themeColor="accent5" w:themeTint="66"/>
        <w:bottom w:val="single" w:sz="4" w:space="0" w:color="E5DAF5" w:themeColor="accent5" w:themeTint="66"/>
        <w:right w:val="single" w:sz="4" w:space="0" w:color="E5DAF5" w:themeColor="accent5" w:themeTint="66"/>
        <w:insideH w:val="single" w:sz="4" w:space="0" w:color="E5DAF5" w:themeColor="accent5" w:themeTint="66"/>
        <w:insideV w:val="single" w:sz="4" w:space="0" w:color="E5DA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D2B3" w:themeColor="accent6" w:themeTint="66"/>
        <w:left w:val="single" w:sz="4" w:space="0" w:color="FFD2B3" w:themeColor="accent6" w:themeTint="66"/>
        <w:bottom w:val="single" w:sz="4" w:space="0" w:color="FFD2B3" w:themeColor="accent6" w:themeTint="66"/>
        <w:right w:val="single" w:sz="4" w:space="0" w:color="FFD2B3" w:themeColor="accent6" w:themeTint="66"/>
        <w:insideH w:val="single" w:sz="4" w:space="0" w:color="FFD2B3" w:themeColor="accent6" w:themeTint="66"/>
        <w:insideV w:val="single" w:sz="4" w:space="0" w:color="FFD2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7F8282" w:themeColor="text1" w:themeTint="99"/>
        <w:bottom w:val="single" w:sz="2" w:space="0" w:color="7F8282" w:themeColor="text1" w:themeTint="99"/>
        <w:insideH w:val="single" w:sz="2" w:space="0" w:color="7F8282" w:themeColor="text1" w:themeTint="99"/>
        <w:insideV w:val="single" w:sz="2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8282" w:themeColor="tex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8282" w:themeColor="tex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A9064" w:themeColor="accent1" w:themeTint="99"/>
        <w:bottom w:val="single" w:sz="2" w:space="0" w:color="FA9064" w:themeColor="accent1" w:themeTint="99"/>
        <w:insideH w:val="single" w:sz="2" w:space="0" w:color="FA9064" w:themeColor="accent1" w:themeTint="99"/>
        <w:insideV w:val="single" w:sz="2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9064" w:themeColor="accent1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9064" w:themeColor="accent1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98DCA" w:themeColor="accent2" w:themeTint="99"/>
        <w:bottom w:val="single" w:sz="2" w:space="0" w:color="A98DCA" w:themeColor="accent2" w:themeTint="99"/>
        <w:insideH w:val="single" w:sz="2" w:space="0" w:color="A98DCA" w:themeColor="accent2" w:themeTint="99"/>
        <w:insideV w:val="single" w:sz="2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98DCA" w:themeColor="accent2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98DCA" w:themeColor="accent2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A1E9CE" w:themeColor="accent3" w:themeTint="99"/>
        <w:bottom w:val="single" w:sz="2" w:space="0" w:color="A1E9CE" w:themeColor="accent3" w:themeTint="99"/>
        <w:insideH w:val="single" w:sz="2" w:space="0" w:color="A1E9CE" w:themeColor="accent3" w:themeTint="99"/>
        <w:insideV w:val="single" w:sz="2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E9CE" w:themeColor="accent3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E9CE" w:themeColor="accent3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AB72" w:themeColor="accent4" w:themeTint="99"/>
        <w:bottom w:val="single" w:sz="2" w:space="0" w:color="FFAB72" w:themeColor="accent4" w:themeTint="99"/>
        <w:insideH w:val="single" w:sz="2" w:space="0" w:color="FFAB72" w:themeColor="accent4" w:themeTint="99"/>
        <w:insideV w:val="single" w:sz="2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B72" w:themeColor="accent4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B72" w:themeColor="accent4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D9C8F1" w:themeColor="accent5" w:themeTint="99"/>
        <w:bottom w:val="single" w:sz="2" w:space="0" w:color="D9C8F1" w:themeColor="accent5" w:themeTint="99"/>
        <w:insideH w:val="single" w:sz="2" w:space="0" w:color="D9C8F1" w:themeColor="accent5" w:themeTint="99"/>
        <w:insideV w:val="single" w:sz="2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C8F1" w:themeColor="accent5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C8F1" w:themeColor="accent5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31EB4"/>
    <w:pPr>
      <w:spacing w:after="0" w:line="240" w:lineRule="auto"/>
    </w:pPr>
    <w:tblPr>
      <w:tblStyleRowBandSize w:val="1"/>
      <w:tblStyleColBandSize w:val="1"/>
      <w:tblBorders>
        <w:top w:val="single" w:sz="2" w:space="0" w:color="FFBB8E" w:themeColor="accent6" w:themeTint="99"/>
        <w:bottom w:val="single" w:sz="2" w:space="0" w:color="FFBB8E" w:themeColor="accent6" w:themeTint="99"/>
        <w:insideH w:val="single" w:sz="2" w:space="0" w:color="FFBB8E" w:themeColor="accent6" w:themeTint="99"/>
        <w:insideV w:val="single" w:sz="2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B8E" w:themeColor="accent6" w:themeTint="99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B8E" w:themeColor="accent6" w:themeTint="99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3">
    <w:name w:val="Grid Table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2D2E2E" w:themeColor="text1"/>
          <w:left w:val="single" w:sz="4" w:space="0" w:color="2D2E2E" w:themeColor="text1"/>
          <w:bottom w:val="single" w:sz="4" w:space="0" w:color="2D2E2E" w:themeColor="text1"/>
          <w:right w:val="single" w:sz="4" w:space="0" w:color="2D2E2E" w:themeColor="text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</w:rPr>
      <w:tblPr/>
      <w:tcPr>
        <w:tcBorders>
          <w:top w:val="double" w:sz="4" w:space="0" w:color="2D2E2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EF4C07" w:themeColor="accent1"/>
          <w:left w:val="single" w:sz="4" w:space="0" w:color="EF4C07" w:themeColor="accent1"/>
          <w:bottom w:val="single" w:sz="4" w:space="0" w:color="EF4C07" w:themeColor="accent1"/>
          <w:right w:val="single" w:sz="4" w:space="0" w:color="EF4C07" w:themeColor="accent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</w:rPr>
      <w:tblPr/>
      <w:tcPr>
        <w:tcBorders>
          <w:top w:val="double" w:sz="4" w:space="0" w:color="EF4C0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714AA0" w:themeColor="accent2"/>
          <w:left w:val="single" w:sz="4" w:space="0" w:color="714AA0" w:themeColor="accent2"/>
          <w:bottom w:val="single" w:sz="4" w:space="0" w:color="714AA0" w:themeColor="accent2"/>
          <w:right w:val="single" w:sz="4" w:space="0" w:color="714AA0" w:themeColor="accent2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</w:rPr>
      <w:tblPr/>
      <w:tcPr>
        <w:tcBorders>
          <w:top w:val="double" w:sz="4" w:space="0" w:color="714A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64DBAE" w:themeColor="accent3"/>
          <w:left w:val="single" w:sz="4" w:space="0" w:color="64DBAE" w:themeColor="accent3"/>
          <w:bottom w:val="single" w:sz="4" w:space="0" w:color="64DBAE" w:themeColor="accent3"/>
          <w:right w:val="single" w:sz="4" w:space="0" w:color="64DBAE" w:themeColor="accent3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</w:rPr>
      <w:tblPr/>
      <w:tcPr>
        <w:tcBorders>
          <w:top w:val="double" w:sz="4" w:space="0" w:color="64DBA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7415" w:themeColor="accent4"/>
          <w:left w:val="single" w:sz="4" w:space="0" w:color="FF7415" w:themeColor="accent4"/>
          <w:bottom w:val="single" w:sz="4" w:space="0" w:color="FF7415" w:themeColor="accent4"/>
          <w:right w:val="single" w:sz="4" w:space="0" w:color="FF7415" w:themeColor="accent4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</w:rPr>
      <w:tblPr/>
      <w:tcPr>
        <w:tcBorders>
          <w:top w:val="double" w:sz="4" w:space="0" w:color="FF741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C0A4E8" w:themeColor="accent5"/>
          <w:left w:val="single" w:sz="4" w:space="0" w:color="C0A4E8" w:themeColor="accent5"/>
          <w:bottom w:val="single" w:sz="4" w:space="0" w:color="C0A4E8" w:themeColor="accent5"/>
          <w:right w:val="single" w:sz="4" w:space="0" w:color="C0A4E8" w:themeColor="accent5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</w:rPr>
      <w:tblPr/>
      <w:tcPr>
        <w:tcBorders>
          <w:top w:val="double" w:sz="4" w:space="0" w:color="C0A4E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8F43" w:themeColor="accent6"/>
          <w:left w:val="single" w:sz="4" w:space="0" w:color="FF8F43" w:themeColor="accent6"/>
          <w:bottom w:val="single" w:sz="4" w:space="0" w:color="FF8F43" w:themeColor="accent6"/>
          <w:right w:val="single" w:sz="4" w:space="0" w:color="FF8F43" w:themeColor="accent6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</w:rPr>
      <w:tblPr/>
      <w:tcPr>
        <w:tcBorders>
          <w:top w:val="double" w:sz="4" w:space="0" w:color="FF8F4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4D5D5" w:themeFill="tex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2D2E2E" w:themeFill="tex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2D2E2E" w:themeFill="text1"/>
      </w:tcPr>
    </w:tblStylePr>
    <w:tblStylePr w:type="band1Vert">
      <w:tblPr/>
      <w:tcPr>
        <w:shd w:val="clear" w:color="auto" w:fill="AAACAC" w:themeFill="text1" w:themeFillTint="66"/>
      </w:tcPr>
    </w:tblStylePr>
    <w:tblStylePr w:type="band1Horz">
      <w:tblPr/>
      <w:tcPr>
        <w:shd w:val="clear" w:color="auto" w:fill="AAACAC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DDACB" w:themeFill="accent1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EF4C07" w:themeFill="accent1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EF4C07" w:themeFill="accent1"/>
      </w:tcPr>
    </w:tblStylePr>
    <w:tblStylePr w:type="band1Vert">
      <w:tblPr/>
      <w:tcPr>
        <w:shd w:val="clear" w:color="auto" w:fill="FCB598" w:themeFill="accent1" w:themeFillTint="66"/>
      </w:tcPr>
    </w:tblStylePr>
    <w:tblStylePr w:type="band1Horz">
      <w:tblPr/>
      <w:tcPr>
        <w:shd w:val="clear" w:color="auto" w:fill="FCB59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E2D9ED" w:themeFill="accent2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714AA0" w:themeFill="accent2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714AA0" w:themeFill="accent2"/>
      </w:tcPr>
    </w:tblStylePr>
    <w:tblStylePr w:type="band1Vert">
      <w:tblPr/>
      <w:tcPr>
        <w:shd w:val="clear" w:color="auto" w:fill="C5B3DC" w:themeFill="accent2" w:themeFillTint="66"/>
      </w:tcPr>
    </w:tblStylePr>
    <w:tblStylePr w:type="band1Horz">
      <w:tblPr/>
      <w:tcPr>
        <w:shd w:val="clear" w:color="auto" w:fill="C5B3D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DFF7EE" w:themeFill="accent3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64DBAE" w:themeFill="accent3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64DBAE" w:themeFill="accent3"/>
      </w:tcPr>
    </w:tblStylePr>
    <w:tblStylePr w:type="band1Vert">
      <w:tblPr/>
      <w:tcPr>
        <w:shd w:val="clear" w:color="auto" w:fill="C0F0DE" w:themeFill="accent3" w:themeFillTint="66"/>
      </w:tcPr>
    </w:tblStylePr>
    <w:tblStylePr w:type="band1Horz">
      <w:tblPr/>
      <w:tcPr>
        <w:shd w:val="clear" w:color="auto" w:fill="C0F0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2D0" w:themeFill="accent4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7415" w:themeFill="accent4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7415" w:themeFill="accent4"/>
      </w:tcPr>
    </w:tblStylePr>
    <w:tblStylePr w:type="band1Vert">
      <w:tblPr/>
      <w:tcPr>
        <w:shd w:val="clear" w:color="auto" w:fill="FFC7A1" w:themeFill="accent4" w:themeFillTint="66"/>
      </w:tcPr>
    </w:tblStylePr>
    <w:tblStylePr w:type="band1Horz">
      <w:tblPr/>
      <w:tcPr>
        <w:shd w:val="clear" w:color="auto" w:fill="FFC7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2ECFA" w:themeFill="accent5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C0A4E8" w:themeFill="accent5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C0A4E8" w:themeFill="accent5"/>
      </w:tcPr>
    </w:tblStylePr>
    <w:tblStylePr w:type="band1Vert">
      <w:tblPr/>
      <w:tcPr>
        <w:shd w:val="clear" w:color="auto" w:fill="E5DAF5" w:themeFill="accent5" w:themeFillTint="66"/>
      </w:tcPr>
    </w:tblStylePr>
    <w:tblStylePr w:type="band1Horz">
      <w:tblPr/>
      <w:tcPr>
        <w:shd w:val="clear" w:color="auto" w:fill="E5DAF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31EB4"/>
    <w:pPr>
      <w:spacing w:after="0" w:line="240" w:lineRule="auto"/>
    </w:pPr>
    <w:tblPr>
      <w:tblStyleRowBandSize w:val="1"/>
      <w:tblStyleColBandSize w:val="1"/>
      <w:tblBorders>
        <w:top w:val="single" w:sz="4" w:space="0" w:color="FFF4EC" w:themeColor="background1"/>
        <w:left w:val="single" w:sz="4" w:space="0" w:color="FFF4EC" w:themeColor="background1"/>
        <w:bottom w:val="single" w:sz="4" w:space="0" w:color="FFF4EC" w:themeColor="background1"/>
        <w:right w:val="single" w:sz="4" w:space="0" w:color="FFF4EC" w:themeColor="background1"/>
        <w:insideH w:val="single" w:sz="4" w:space="0" w:color="FFF4EC" w:themeColor="background1"/>
        <w:insideV w:val="single" w:sz="4" w:space="0" w:color="FFF4EC" w:themeColor="background1"/>
      </w:tblBorders>
    </w:tblPr>
    <w:tcPr>
      <w:shd w:val="clear" w:color="auto" w:fill="FFE8D9" w:themeFill="accent6" w:themeFillTint="33"/>
    </w:tcPr>
    <w:tblStylePr w:type="firstRow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lastRow">
      <w:rPr>
        <w:b/>
        <w:bCs/>
        <w:color w:val="FFF4EC" w:themeColor="background1"/>
      </w:rPr>
      <w:tblPr/>
      <w:tcPr>
        <w:tcBorders>
          <w:left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H w:val="nil"/>
          <w:insideV w:val="nil"/>
        </w:tcBorders>
        <w:shd w:val="clear" w:color="auto" w:fill="FF8F43" w:themeFill="accent6"/>
      </w:tcPr>
    </w:tblStylePr>
    <w:tblStylePr w:type="fir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left w:val="single" w:sz="4" w:space="0" w:color="FFF4EC" w:themeColor="background1"/>
          <w:bottom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lastCol">
      <w:rPr>
        <w:b/>
        <w:bCs/>
        <w:color w:val="FFF4EC" w:themeColor="background1"/>
      </w:rPr>
      <w:tblPr/>
      <w:tcPr>
        <w:tcBorders>
          <w:top w:val="single" w:sz="4" w:space="0" w:color="FFF4EC" w:themeColor="background1"/>
          <w:bottom w:val="single" w:sz="4" w:space="0" w:color="FFF4EC" w:themeColor="background1"/>
          <w:right w:val="single" w:sz="4" w:space="0" w:color="FFF4EC" w:themeColor="background1"/>
          <w:insideV w:val="nil"/>
        </w:tcBorders>
        <w:shd w:val="clear" w:color="auto" w:fill="FF8F43" w:themeFill="accent6"/>
      </w:tcPr>
    </w:tblStylePr>
    <w:tblStylePr w:type="band1Vert">
      <w:tblPr/>
      <w:tcPr>
        <w:shd w:val="clear" w:color="auto" w:fill="FFD2B3" w:themeFill="accent6" w:themeFillTint="66"/>
      </w:tcPr>
    </w:tblStylePr>
    <w:tblStylePr w:type="band1Horz">
      <w:tblPr/>
      <w:tcPr>
        <w:shd w:val="clear" w:color="auto" w:fill="FFD2B3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8282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8282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A906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906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98DC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98DC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1E9C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E9C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AB7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B7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9C8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C8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BB8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B8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631EB4"/>
    <w:pPr>
      <w:spacing w:after="0" w:line="240" w:lineRule="auto"/>
    </w:pPr>
    <w:rPr>
      <w:color w:val="2D2E2E" w:themeColor="text1"/>
    </w:rPr>
    <w:tblPr>
      <w:tblStyleRowBandSize w:val="1"/>
      <w:tblStyleColBandSize w:val="1"/>
      <w:tblBorders>
        <w:top w:val="single" w:sz="4" w:space="0" w:color="7F8282" w:themeColor="text1" w:themeTint="99"/>
        <w:left w:val="single" w:sz="4" w:space="0" w:color="7F8282" w:themeColor="text1" w:themeTint="99"/>
        <w:bottom w:val="single" w:sz="4" w:space="0" w:color="7F8282" w:themeColor="text1" w:themeTint="99"/>
        <w:right w:val="single" w:sz="4" w:space="0" w:color="7F8282" w:themeColor="text1" w:themeTint="99"/>
        <w:insideH w:val="single" w:sz="4" w:space="0" w:color="7F8282" w:themeColor="text1" w:themeTint="99"/>
        <w:insideV w:val="single" w:sz="4" w:space="0" w:color="7F8282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4D5D5" w:themeFill="text1" w:themeFillTint="33"/>
      </w:tcPr>
    </w:tblStylePr>
    <w:tblStylePr w:type="band1Horz">
      <w:tblPr/>
      <w:tcPr>
        <w:shd w:val="clear" w:color="auto" w:fill="D4D5D5" w:themeFill="text1" w:themeFillTint="33"/>
      </w:tcPr>
    </w:tblStylePr>
    <w:tblStylePr w:type="neCell">
      <w:tblPr/>
      <w:tcPr>
        <w:tcBorders>
          <w:bottom w:val="single" w:sz="4" w:space="0" w:color="7F8282" w:themeColor="text1" w:themeTint="99"/>
        </w:tcBorders>
      </w:tcPr>
    </w:tblStylePr>
    <w:tblStylePr w:type="nwCell">
      <w:tblPr/>
      <w:tcPr>
        <w:tcBorders>
          <w:bottom w:val="single" w:sz="4" w:space="0" w:color="7F8282" w:themeColor="text1" w:themeTint="99"/>
        </w:tcBorders>
      </w:tcPr>
    </w:tblStylePr>
    <w:tblStylePr w:type="seCell">
      <w:tblPr/>
      <w:tcPr>
        <w:tcBorders>
          <w:top w:val="single" w:sz="4" w:space="0" w:color="7F8282" w:themeColor="text1" w:themeTint="99"/>
        </w:tcBorders>
      </w:tcPr>
    </w:tblStylePr>
    <w:tblStylePr w:type="swCell">
      <w:tblPr/>
      <w:tcPr>
        <w:tcBorders>
          <w:top w:val="single" w:sz="4" w:space="0" w:color="7F8282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631EB4"/>
    <w:pPr>
      <w:spacing w:after="0" w:line="240" w:lineRule="auto"/>
    </w:pPr>
    <w:rPr>
      <w:color w:val="B23805" w:themeColor="accent1" w:themeShade="BF"/>
    </w:rPr>
    <w:tblPr>
      <w:tblStyleRowBandSize w:val="1"/>
      <w:tblStyleColBandSize w:val="1"/>
      <w:tblBorders>
        <w:top w:val="single" w:sz="4" w:space="0" w:color="FA9064" w:themeColor="accent1" w:themeTint="99"/>
        <w:left w:val="single" w:sz="4" w:space="0" w:color="FA9064" w:themeColor="accent1" w:themeTint="99"/>
        <w:bottom w:val="single" w:sz="4" w:space="0" w:color="FA9064" w:themeColor="accent1" w:themeTint="99"/>
        <w:right w:val="single" w:sz="4" w:space="0" w:color="FA9064" w:themeColor="accent1" w:themeTint="99"/>
        <w:insideH w:val="single" w:sz="4" w:space="0" w:color="FA9064" w:themeColor="accent1" w:themeTint="99"/>
        <w:insideV w:val="single" w:sz="4" w:space="0" w:color="FA906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DDACB" w:themeFill="accent1" w:themeFillTint="33"/>
      </w:tcPr>
    </w:tblStylePr>
    <w:tblStylePr w:type="band1Horz">
      <w:tblPr/>
      <w:tcPr>
        <w:shd w:val="clear" w:color="auto" w:fill="FDDACB" w:themeFill="accent1" w:themeFillTint="33"/>
      </w:tcPr>
    </w:tblStylePr>
    <w:tblStylePr w:type="neCell">
      <w:tblPr/>
      <w:tcPr>
        <w:tcBorders>
          <w:bottom w:val="single" w:sz="4" w:space="0" w:color="FA9064" w:themeColor="accent1" w:themeTint="99"/>
        </w:tcBorders>
      </w:tcPr>
    </w:tblStylePr>
    <w:tblStylePr w:type="nwCell">
      <w:tblPr/>
      <w:tcPr>
        <w:tcBorders>
          <w:bottom w:val="single" w:sz="4" w:space="0" w:color="FA9064" w:themeColor="accent1" w:themeTint="99"/>
        </w:tcBorders>
      </w:tcPr>
    </w:tblStylePr>
    <w:tblStylePr w:type="seCell">
      <w:tblPr/>
      <w:tcPr>
        <w:tcBorders>
          <w:top w:val="single" w:sz="4" w:space="0" w:color="FA9064" w:themeColor="accent1" w:themeTint="99"/>
        </w:tcBorders>
      </w:tcPr>
    </w:tblStylePr>
    <w:tblStylePr w:type="swCell">
      <w:tblPr/>
      <w:tcPr>
        <w:tcBorders>
          <w:top w:val="single" w:sz="4" w:space="0" w:color="FA9064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631EB4"/>
    <w:pPr>
      <w:spacing w:after="0" w:line="240" w:lineRule="auto"/>
    </w:pPr>
    <w:rPr>
      <w:color w:val="543777" w:themeColor="accent2" w:themeShade="BF"/>
    </w:rPr>
    <w:tblPr>
      <w:tblStyleRowBandSize w:val="1"/>
      <w:tblStyleColBandSize w:val="1"/>
      <w:tblBorders>
        <w:top w:val="single" w:sz="4" w:space="0" w:color="A98DCA" w:themeColor="accent2" w:themeTint="99"/>
        <w:left w:val="single" w:sz="4" w:space="0" w:color="A98DCA" w:themeColor="accent2" w:themeTint="99"/>
        <w:bottom w:val="single" w:sz="4" w:space="0" w:color="A98DCA" w:themeColor="accent2" w:themeTint="99"/>
        <w:right w:val="single" w:sz="4" w:space="0" w:color="A98DCA" w:themeColor="accent2" w:themeTint="99"/>
        <w:insideH w:val="single" w:sz="4" w:space="0" w:color="A98DCA" w:themeColor="accent2" w:themeTint="99"/>
        <w:insideV w:val="single" w:sz="4" w:space="0" w:color="A98DC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E2D9ED" w:themeFill="accent2" w:themeFillTint="33"/>
      </w:tcPr>
    </w:tblStylePr>
    <w:tblStylePr w:type="band1Horz">
      <w:tblPr/>
      <w:tcPr>
        <w:shd w:val="clear" w:color="auto" w:fill="E2D9ED" w:themeFill="accent2" w:themeFillTint="33"/>
      </w:tcPr>
    </w:tblStylePr>
    <w:tblStylePr w:type="neCell">
      <w:tblPr/>
      <w:tcPr>
        <w:tcBorders>
          <w:bottom w:val="single" w:sz="4" w:space="0" w:color="A98DCA" w:themeColor="accent2" w:themeTint="99"/>
        </w:tcBorders>
      </w:tcPr>
    </w:tblStylePr>
    <w:tblStylePr w:type="nwCell">
      <w:tblPr/>
      <w:tcPr>
        <w:tcBorders>
          <w:bottom w:val="single" w:sz="4" w:space="0" w:color="A98DCA" w:themeColor="accent2" w:themeTint="99"/>
        </w:tcBorders>
      </w:tcPr>
    </w:tblStylePr>
    <w:tblStylePr w:type="seCell">
      <w:tblPr/>
      <w:tcPr>
        <w:tcBorders>
          <w:top w:val="single" w:sz="4" w:space="0" w:color="A98DCA" w:themeColor="accent2" w:themeTint="99"/>
        </w:tcBorders>
      </w:tcPr>
    </w:tblStylePr>
    <w:tblStylePr w:type="swCell">
      <w:tblPr/>
      <w:tcPr>
        <w:tcBorders>
          <w:top w:val="single" w:sz="4" w:space="0" w:color="A98DCA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31EB4"/>
    <w:pPr>
      <w:spacing w:after="0" w:line="240" w:lineRule="auto"/>
    </w:pPr>
    <w:rPr>
      <w:color w:val="2DC189" w:themeColor="accent3" w:themeShade="BF"/>
    </w:rPr>
    <w:tblPr>
      <w:tblStyleRowBandSize w:val="1"/>
      <w:tblStyleColBandSize w:val="1"/>
      <w:tblBorders>
        <w:top w:val="single" w:sz="4" w:space="0" w:color="A1E9CE" w:themeColor="accent3" w:themeTint="99"/>
        <w:left w:val="single" w:sz="4" w:space="0" w:color="A1E9CE" w:themeColor="accent3" w:themeTint="99"/>
        <w:bottom w:val="single" w:sz="4" w:space="0" w:color="A1E9CE" w:themeColor="accent3" w:themeTint="99"/>
        <w:right w:val="single" w:sz="4" w:space="0" w:color="A1E9CE" w:themeColor="accent3" w:themeTint="99"/>
        <w:insideH w:val="single" w:sz="4" w:space="0" w:color="A1E9CE" w:themeColor="accent3" w:themeTint="99"/>
        <w:insideV w:val="single" w:sz="4" w:space="0" w:color="A1E9C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DFF7EE" w:themeFill="accent3" w:themeFillTint="33"/>
      </w:tcPr>
    </w:tblStylePr>
    <w:tblStylePr w:type="band1Horz">
      <w:tblPr/>
      <w:tcPr>
        <w:shd w:val="clear" w:color="auto" w:fill="DFF7EE" w:themeFill="accent3" w:themeFillTint="33"/>
      </w:tcPr>
    </w:tblStylePr>
    <w:tblStylePr w:type="neCell">
      <w:tblPr/>
      <w:tcPr>
        <w:tcBorders>
          <w:bottom w:val="single" w:sz="4" w:space="0" w:color="A1E9CE" w:themeColor="accent3" w:themeTint="99"/>
        </w:tcBorders>
      </w:tcPr>
    </w:tblStylePr>
    <w:tblStylePr w:type="nwCell">
      <w:tblPr/>
      <w:tcPr>
        <w:tcBorders>
          <w:bottom w:val="single" w:sz="4" w:space="0" w:color="A1E9CE" w:themeColor="accent3" w:themeTint="99"/>
        </w:tcBorders>
      </w:tcPr>
    </w:tblStylePr>
    <w:tblStylePr w:type="seCell">
      <w:tblPr/>
      <w:tcPr>
        <w:tcBorders>
          <w:top w:val="single" w:sz="4" w:space="0" w:color="A1E9CE" w:themeColor="accent3" w:themeTint="99"/>
        </w:tcBorders>
      </w:tcPr>
    </w:tblStylePr>
    <w:tblStylePr w:type="swCell">
      <w:tblPr/>
      <w:tcPr>
        <w:tcBorders>
          <w:top w:val="single" w:sz="4" w:space="0" w:color="A1E9CE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631EB4"/>
    <w:pPr>
      <w:spacing w:after="0" w:line="240" w:lineRule="auto"/>
    </w:pPr>
    <w:rPr>
      <w:color w:val="CE5300" w:themeColor="accent4" w:themeShade="BF"/>
    </w:rPr>
    <w:tblPr>
      <w:tblStyleRowBandSize w:val="1"/>
      <w:tblStyleColBandSize w:val="1"/>
      <w:tblBorders>
        <w:top w:val="single" w:sz="4" w:space="0" w:color="FFAB72" w:themeColor="accent4" w:themeTint="99"/>
        <w:left w:val="single" w:sz="4" w:space="0" w:color="FFAB72" w:themeColor="accent4" w:themeTint="99"/>
        <w:bottom w:val="single" w:sz="4" w:space="0" w:color="FFAB72" w:themeColor="accent4" w:themeTint="99"/>
        <w:right w:val="single" w:sz="4" w:space="0" w:color="FFAB72" w:themeColor="accent4" w:themeTint="99"/>
        <w:insideH w:val="single" w:sz="4" w:space="0" w:color="FFAB72" w:themeColor="accent4" w:themeTint="99"/>
        <w:insideV w:val="single" w:sz="4" w:space="0" w:color="FFAB7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2D0" w:themeFill="accent4" w:themeFillTint="33"/>
      </w:tcPr>
    </w:tblStylePr>
    <w:tblStylePr w:type="band1Horz">
      <w:tblPr/>
      <w:tcPr>
        <w:shd w:val="clear" w:color="auto" w:fill="FFE2D0" w:themeFill="accent4" w:themeFillTint="33"/>
      </w:tcPr>
    </w:tblStylePr>
    <w:tblStylePr w:type="neCell">
      <w:tblPr/>
      <w:tcPr>
        <w:tcBorders>
          <w:bottom w:val="single" w:sz="4" w:space="0" w:color="FFAB72" w:themeColor="accent4" w:themeTint="99"/>
        </w:tcBorders>
      </w:tcPr>
    </w:tblStylePr>
    <w:tblStylePr w:type="nwCell">
      <w:tblPr/>
      <w:tcPr>
        <w:tcBorders>
          <w:bottom w:val="single" w:sz="4" w:space="0" w:color="FFAB72" w:themeColor="accent4" w:themeTint="99"/>
        </w:tcBorders>
      </w:tcPr>
    </w:tblStylePr>
    <w:tblStylePr w:type="seCell">
      <w:tblPr/>
      <w:tcPr>
        <w:tcBorders>
          <w:top w:val="single" w:sz="4" w:space="0" w:color="FFAB72" w:themeColor="accent4" w:themeTint="99"/>
        </w:tcBorders>
      </w:tcPr>
    </w:tblStylePr>
    <w:tblStylePr w:type="swCell">
      <w:tblPr/>
      <w:tcPr>
        <w:tcBorders>
          <w:top w:val="single" w:sz="4" w:space="0" w:color="FFAB72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631EB4"/>
    <w:pPr>
      <w:spacing w:after="0" w:line="240" w:lineRule="auto"/>
    </w:pPr>
    <w:rPr>
      <w:color w:val="8854D4" w:themeColor="accent5" w:themeShade="BF"/>
    </w:rPr>
    <w:tblPr>
      <w:tblStyleRowBandSize w:val="1"/>
      <w:tblStyleColBandSize w:val="1"/>
      <w:tblBorders>
        <w:top w:val="single" w:sz="4" w:space="0" w:color="D9C8F1" w:themeColor="accent5" w:themeTint="99"/>
        <w:left w:val="single" w:sz="4" w:space="0" w:color="D9C8F1" w:themeColor="accent5" w:themeTint="99"/>
        <w:bottom w:val="single" w:sz="4" w:space="0" w:color="D9C8F1" w:themeColor="accent5" w:themeTint="99"/>
        <w:right w:val="single" w:sz="4" w:space="0" w:color="D9C8F1" w:themeColor="accent5" w:themeTint="99"/>
        <w:insideH w:val="single" w:sz="4" w:space="0" w:color="D9C8F1" w:themeColor="accent5" w:themeTint="99"/>
        <w:insideV w:val="single" w:sz="4" w:space="0" w:color="D9C8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2ECFA" w:themeFill="accent5" w:themeFillTint="33"/>
      </w:tcPr>
    </w:tblStylePr>
    <w:tblStylePr w:type="band1Horz">
      <w:tblPr/>
      <w:tcPr>
        <w:shd w:val="clear" w:color="auto" w:fill="F2ECFA" w:themeFill="accent5" w:themeFillTint="33"/>
      </w:tcPr>
    </w:tblStylePr>
    <w:tblStylePr w:type="neCell">
      <w:tblPr/>
      <w:tcPr>
        <w:tcBorders>
          <w:bottom w:val="single" w:sz="4" w:space="0" w:color="D9C8F1" w:themeColor="accent5" w:themeTint="99"/>
        </w:tcBorders>
      </w:tcPr>
    </w:tblStylePr>
    <w:tblStylePr w:type="nwCell">
      <w:tblPr/>
      <w:tcPr>
        <w:tcBorders>
          <w:bottom w:val="single" w:sz="4" w:space="0" w:color="D9C8F1" w:themeColor="accent5" w:themeTint="99"/>
        </w:tcBorders>
      </w:tcPr>
    </w:tblStylePr>
    <w:tblStylePr w:type="seCell">
      <w:tblPr/>
      <w:tcPr>
        <w:tcBorders>
          <w:top w:val="single" w:sz="4" w:space="0" w:color="D9C8F1" w:themeColor="accent5" w:themeTint="99"/>
        </w:tcBorders>
      </w:tcPr>
    </w:tblStylePr>
    <w:tblStylePr w:type="swCell">
      <w:tblPr/>
      <w:tcPr>
        <w:tcBorders>
          <w:top w:val="single" w:sz="4" w:space="0" w:color="D9C8F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631EB4"/>
    <w:pPr>
      <w:spacing w:after="0" w:line="240" w:lineRule="auto"/>
    </w:pPr>
    <w:rPr>
      <w:color w:val="F16100" w:themeColor="accent6" w:themeShade="BF"/>
    </w:rPr>
    <w:tblPr>
      <w:tblStyleRowBandSize w:val="1"/>
      <w:tblStyleColBandSize w:val="1"/>
      <w:tblBorders>
        <w:top w:val="single" w:sz="4" w:space="0" w:color="FFBB8E" w:themeColor="accent6" w:themeTint="99"/>
        <w:left w:val="single" w:sz="4" w:space="0" w:color="FFBB8E" w:themeColor="accent6" w:themeTint="99"/>
        <w:bottom w:val="single" w:sz="4" w:space="0" w:color="FFBB8E" w:themeColor="accent6" w:themeTint="99"/>
        <w:right w:val="single" w:sz="4" w:space="0" w:color="FFBB8E" w:themeColor="accent6" w:themeTint="99"/>
        <w:insideH w:val="single" w:sz="4" w:space="0" w:color="FFBB8E" w:themeColor="accent6" w:themeTint="99"/>
        <w:insideV w:val="single" w:sz="4" w:space="0" w:color="FFBB8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4EC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4EC" w:themeFill="background1"/>
      </w:tcPr>
    </w:tblStylePr>
    <w:tblStylePr w:type="band1Vert">
      <w:tblPr/>
      <w:tcPr>
        <w:shd w:val="clear" w:color="auto" w:fill="FFE8D9" w:themeFill="accent6" w:themeFillTint="33"/>
      </w:tcPr>
    </w:tblStylePr>
    <w:tblStylePr w:type="band1Horz">
      <w:tblPr/>
      <w:tcPr>
        <w:shd w:val="clear" w:color="auto" w:fill="FFE8D9" w:themeFill="accent6" w:themeFillTint="33"/>
      </w:tcPr>
    </w:tblStylePr>
    <w:tblStylePr w:type="neCell">
      <w:tblPr/>
      <w:tcPr>
        <w:tcBorders>
          <w:bottom w:val="single" w:sz="4" w:space="0" w:color="FFBB8E" w:themeColor="accent6" w:themeTint="99"/>
        </w:tcBorders>
      </w:tcPr>
    </w:tblStylePr>
    <w:tblStylePr w:type="nwCell">
      <w:tblPr/>
      <w:tcPr>
        <w:tcBorders>
          <w:bottom w:val="single" w:sz="4" w:space="0" w:color="FFBB8E" w:themeColor="accent6" w:themeTint="99"/>
        </w:tcBorders>
      </w:tcPr>
    </w:tblStylePr>
    <w:tblStylePr w:type="seCell">
      <w:tblPr/>
      <w:tcPr>
        <w:tcBorders>
          <w:top w:val="single" w:sz="4" w:space="0" w:color="FFBB8E" w:themeColor="accent6" w:themeTint="99"/>
        </w:tcBorders>
      </w:tcPr>
    </w:tblStylePr>
    <w:tblStylePr w:type="swCell">
      <w:tblPr/>
      <w:tcPr>
        <w:tcBorders>
          <w:top w:val="single" w:sz="4" w:space="0" w:color="FFBB8E" w:themeColor="accent6" w:themeTint="99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31EB4"/>
    <w:rPr>
      <w:lang w:val="sv-S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31EB4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31EB4"/>
    <w:rPr>
      <w:lang w:val="sv-SE"/>
    </w:rPr>
  </w:style>
  <w:style w:type="character" w:styleId="EndnoteReference">
    <w:name w:val="endnote reference"/>
    <w:basedOn w:val="DefaultParagraphFont"/>
    <w:uiPriority w:val="99"/>
    <w:semiHidden/>
    <w:unhideWhenUsed/>
    <w:rsid w:val="00631EB4"/>
    <w:rPr>
      <w:vertAlign w:val="superscript"/>
      <w:lang w:val="sv-S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1EB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1EB4"/>
    <w:rPr>
      <w:lang w:val="sv-SE"/>
    </w:rPr>
  </w:style>
  <w:style w:type="character" w:styleId="SmartHyperlink">
    <w:name w:val="Smart Hyperlink"/>
    <w:basedOn w:val="DefaultParagraphFont"/>
    <w:uiPriority w:val="99"/>
    <w:semiHidden/>
    <w:unhideWhenUsed/>
    <w:rsid w:val="00631EB4"/>
    <w:rPr>
      <w:u w:val="dotted"/>
      <w:lang w:val="sv-SE"/>
    </w:rPr>
  </w:style>
  <w:style w:type="character" w:styleId="SmartLink">
    <w:name w:val="Smart Link"/>
    <w:basedOn w:val="DefaultParagraphFont"/>
    <w:uiPriority w:val="99"/>
    <w:semiHidden/>
    <w:unhideWhenUsed/>
    <w:rsid w:val="00631EB4"/>
    <w:rPr>
      <w:color w:val="0000FF"/>
      <w:u w:val="single"/>
      <w:shd w:val="clear" w:color="auto" w:fill="F3F2F1"/>
      <w:lang w:val="sv-SE"/>
    </w:rPr>
  </w:style>
  <w:style w:type="table" w:styleId="TableClassic1">
    <w:name w:val="Table Classic 1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31EB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semiHidden/>
    <w:qFormat/>
    <w:rsid w:val="00631EB4"/>
    <w:rPr>
      <w:b/>
      <w:bCs/>
      <w:lang w:val="sv-SE"/>
    </w:rPr>
  </w:style>
  <w:style w:type="table" w:styleId="Table3Deffects1">
    <w:name w:val="Table 3D effects 1"/>
    <w:basedOn w:val="TableNormal"/>
    <w:uiPriority w:val="99"/>
    <w:semiHidden/>
    <w:unhideWhenUsed/>
    <w:rsid w:val="00631EB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31EB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31E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31EB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31EB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31EB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31EB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31EB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31EB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31EB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31EB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31EB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31EB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31EB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31E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31EB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31EB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31EB4"/>
    <w:pPr>
      <w:spacing w:after="0" w:line="240" w:lineRule="auto"/>
    </w:pPr>
    <w:tblPr>
      <w:tblBorders>
        <w:top w:val="single" w:sz="4" w:space="0" w:color="FFAC70" w:themeColor="background1" w:themeShade="BF"/>
        <w:left w:val="single" w:sz="4" w:space="0" w:color="FFAC70" w:themeColor="background1" w:themeShade="BF"/>
        <w:bottom w:val="single" w:sz="4" w:space="0" w:color="FFAC70" w:themeColor="background1" w:themeShade="BF"/>
        <w:right w:val="single" w:sz="4" w:space="0" w:color="FFAC70" w:themeColor="background1" w:themeShade="BF"/>
        <w:insideH w:val="single" w:sz="4" w:space="0" w:color="FFAC70" w:themeColor="background1" w:themeShade="BF"/>
        <w:insideV w:val="single" w:sz="4" w:space="0" w:color="FFAC70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rsid w:val="00631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31EB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31EB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31EB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rfattare">
    <w:name w:val="Författare"/>
    <w:basedOn w:val="Normal"/>
    <w:next w:val="Normal"/>
    <w:autoRedefine/>
    <w:uiPriority w:val="99"/>
    <w:qFormat/>
    <w:rsid w:val="00AD0390"/>
    <w:pPr>
      <w:spacing w:before="120" w:after="200" w:line="228" w:lineRule="auto"/>
      <w:contextualSpacing/>
      <w:jc w:val="right"/>
    </w:pPr>
    <w:rPr>
      <w:rFonts w:ascii="Cadiz" w:hAnsi="Cadiz"/>
      <w:color w:val="F0EDEA" w:themeColor="background2"/>
      <w:kern w:val="0"/>
      <w:sz w:val="30"/>
      <w:szCs w:val="20"/>
      <w14:ligatures w14:val="none"/>
    </w:rPr>
  </w:style>
  <w:style w:type="table" w:customStyle="1" w:styleId="Hypergene">
    <w:name w:val="Hypergene"/>
    <w:basedOn w:val="TableNormal"/>
    <w:uiPriority w:val="99"/>
    <w:rsid w:val="004205DF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Adapted">
    <w:name w:val="Adapted"/>
    <w:basedOn w:val="Hypergene"/>
    <w:uiPriority w:val="99"/>
    <w:rsid w:val="000B44DC"/>
    <w:pPr>
      <w:jc w:val="left"/>
    </w:pPr>
    <w:tblPr>
      <w:tblBorders>
        <w:bottom w:val="none" w:sz="0" w:space="0" w:color="auto"/>
        <w:insideH w:val="none" w:sz="0" w:space="0" w:color="auto"/>
        <w:insideV w:val="none" w:sz="0" w:space="0" w:color="auto"/>
      </w:tblBorders>
    </w:tblPr>
    <w:tcPr>
      <w:noWrap w:val="0"/>
      <w:vAlign w:val="top"/>
    </w:tcPr>
    <w:tblStylePr w:type="firstRow">
      <w:rPr>
        <w:b/>
        <w:color w:val="auto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single" w:sz="4" w:space="0" w:color="auto"/>
          <w:insideV w:val="single" w:sz="8" w:space="0" w:color="auto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Emilshus">
    <w:name w:val="Emilshus"/>
    <w:basedOn w:val="TableNormal"/>
    <w:uiPriority w:val="99"/>
    <w:rsid w:val="004E75CC"/>
    <w:pPr>
      <w:keepLines/>
      <w:spacing w:before="0" w:after="0" w:line="240" w:lineRule="auto"/>
      <w:jc w:val="right"/>
    </w:pPr>
    <w:rPr>
      <w:rFonts w:ascii="Cadiz" w:hAnsi="Cadiz"/>
      <w:kern w:val="0"/>
      <w:sz w:val="16"/>
      <w:szCs w:val="20"/>
      <w14:ligatures w14:val="none"/>
    </w:rPr>
    <w:tblPr>
      <w:tblBorders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cPr>
      <w:noWrap/>
      <w:vAlign w:val="center"/>
    </w:tcPr>
    <w:tblStylePr w:type="firstRow">
      <w:rPr>
        <w:rFonts w:ascii="Cadiz" w:hAnsi="Cadiz"/>
        <w:b/>
        <w:color w:val="auto"/>
        <w:sz w:val="16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adiz" w:hAnsi="Cadiz"/>
        <w:sz w:val="16"/>
      </w:rPr>
    </w:tblStylePr>
  </w:style>
  <w:style w:type="paragraph" w:customStyle="1" w:styleId="Table">
    <w:name w:val="Table"/>
    <w:basedOn w:val="Normal"/>
    <w:link w:val="TableChar"/>
    <w:autoRedefine/>
    <w:qFormat/>
    <w:rsid w:val="004E75CC"/>
    <w:pPr>
      <w:keepLines/>
      <w:spacing w:before="0" w:after="0" w:line="240" w:lineRule="auto"/>
      <w:ind w:left="2608" w:hanging="2608"/>
      <w:jc w:val="right"/>
    </w:pPr>
    <w:rPr>
      <w:rFonts w:ascii="Cadiz" w:hAnsi="Cadiz"/>
      <w:sz w:val="16"/>
    </w:rPr>
  </w:style>
  <w:style w:type="character" w:customStyle="1" w:styleId="TableChar">
    <w:name w:val="Table Char"/>
    <w:basedOn w:val="DefaultParagraphFont"/>
    <w:link w:val="Table"/>
    <w:rsid w:val="004E75CC"/>
    <w:rPr>
      <w:rFonts w:ascii="Cadiz" w:hAnsi="Cadiz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Hypergene">
      <a:dk1>
        <a:srgbClr val="2D2E2E"/>
      </a:dk1>
      <a:lt1>
        <a:srgbClr val="FFF4EC"/>
      </a:lt1>
      <a:dk2>
        <a:srgbClr val="1A1A1A"/>
      </a:dk2>
      <a:lt2>
        <a:srgbClr val="F0EDEA"/>
      </a:lt2>
      <a:accent1>
        <a:srgbClr val="EF4C07"/>
      </a:accent1>
      <a:accent2>
        <a:srgbClr val="714AA0"/>
      </a:accent2>
      <a:accent3>
        <a:srgbClr val="64DBAE"/>
      </a:accent3>
      <a:accent4>
        <a:srgbClr val="FF7415"/>
      </a:accent4>
      <a:accent5>
        <a:srgbClr val="C0A4E8"/>
      </a:accent5>
      <a:accent6>
        <a:srgbClr val="FF8F43"/>
      </a:accent6>
      <a:hlink>
        <a:srgbClr val="4D68BE"/>
      </a:hlink>
      <a:folHlink>
        <a:srgbClr val="CA71C4"/>
      </a:folHlink>
    </a:clrScheme>
    <a:fontScheme name="Advania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20000"/>
            <a:lumOff val="80000"/>
          </a:schemeClr>
        </a:solidFill>
        <a:ln w="3175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LPXML_extra15">
  <namn/>
  <titel/>
  <avdelning/>
  <kontakt>
    <telefon/>
    <mobil/>
    <epost/>
    <adress>
      <co/>
      <box/>
      <gata/>
      <postnr/>
      <ort/>
      <land/>
    </adress>
  </kontakt>
  <dokumenttyp/>
  <version/>
  <sklass/>
  <datum/>
  <dnr/>
  <extra01/>
  <extra02/>
  <extra03/>
  <extra04/>
  <extra05/>
  <extra06/>
  <extra07/>
  <extra08/>
  <extra09/>
  <extra10/>
  <extra11/>
  <extra12/>
  <extra13/>
  <extra15/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Tes23</b:Tag>
    <b:SourceType>Book</b:SourceType>
    <b:Guid>{8A08DD0F-2111-4131-88B8-5531346AA6D0}</b:Guid>
    <b:LCID>sv-SE</b:LCID>
    <b:Author>
      <b:Author>
        <b:NameList>
          <b:Person>
            <b:Last>Testförfattare</b:Last>
          </b:Person>
        </b:NameList>
      </b:Author>
    </b:Author>
    <b:Title>Testtitel</b:Title>
    <b:Year>2023</b:Year>
    <b:City>Esklistuna</b:City>
    <b:Publisher>Olof</b:Publisher>
    <b:RefOrder>1</b:RefOrder>
  </b:Source>
  <b:Source>
    <b:Tag>Tes22</b:Tag>
    <b:SourceType>Book</b:SourceType>
    <b:Guid>{64C97C4C-3C32-41E7-A706-C756C93DFDEE}</b:Guid>
    <b:Author>
      <b:Author>
        <b:Corporate>Testförfattare 2</b:Corporate>
      </b:Author>
    </b:Author>
    <b:Title>Testtitel2</b:Title>
    <b:Year>2022</b:Year>
    <b:City>Stockholm</b:City>
    <b:Publisher>Nathalie</b:Publisher>
    <b:RefOrder>2</b:RefOrder>
  </b:Source>
</b:Sources>
</file>

<file path=customXml/itemProps1.xml><?xml version="1.0" encoding="utf-8"?>
<ds:datastoreItem xmlns:ds="http://schemas.openxmlformats.org/officeDocument/2006/customXml" ds:itemID="{E7636FFC-A46C-4978-BBD0-CDA0DB0ED58C}">
  <ds:schemaRefs>
    <ds:schemaRef ds:uri="LPXML_extra15"/>
  </ds:schemaRefs>
</ds:datastoreItem>
</file>

<file path=customXml/itemProps2.xml><?xml version="1.0" encoding="utf-8"?>
<ds:datastoreItem xmlns:ds="http://schemas.openxmlformats.org/officeDocument/2006/customXml" ds:itemID="{8DCF5163-02B1-474A-9F9E-269F3662F1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0c5a43-194c-4e1e-b95b-f38b7fcd5e74}" enabled="1" method="Privileged" siteId="{70d22a8d-923a-445e-82d4-32329da217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2415</Words>
  <Characters>12805</Characters>
  <Application>Microsoft Office Word</Application>
  <DocSecurity>0</DocSecurity>
  <Lines>106</Lines>
  <Paragraphs>30</Paragraphs>
  <ScaleCrop>false</ScaleCrop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Holmberg</dc:creator>
  <cp:keywords/>
  <dc:description/>
  <cp:lastModifiedBy>Marcus Holmberg</cp:lastModifiedBy>
  <cp:revision>2</cp:revision>
  <cp:lastPrinted>2023-12-01T08:20:00Z</cp:lastPrinted>
  <dcterms:created xsi:type="dcterms:W3CDTF">2026-04-12T23:37:00Z</dcterms:created>
  <dcterms:modified xsi:type="dcterms:W3CDTF">2026-04-12T23:37:00Z</dcterms:modified>
</cp:coreProperties>
</file>